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89E" w14:textId="77777777" w:rsidR="009F2A23" w:rsidRPr="00FE6EA1" w:rsidRDefault="009F2A23" w:rsidP="009F2A23">
      <w:pPr>
        <w:rPr>
          <w:sz w:val="10"/>
          <w:szCs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tblGrid>
      <w:tr w:rsidR="00562E6C" w:rsidRPr="00F35817" w14:paraId="75E024FC" w14:textId="77777777" w:rsidTr="00562E6C">
        <w:trPr>
          <w:trHeight w:val="2736"/>
        </w:trPr>
        <w:tc>
          <w:tcPr>
            <w:tcW w:w="9564" w:type="dxa"/>
          </w:tcPr>
          <w:p w14:paraId="0FEF3D63" w14:textId="77777777" w:rsidR="00376B5D" w:rsidRPr="00F35817" w:rsidRDefault="00376B5D" w:rsidP="00056086">
            <w:pPr>
              <w:tabs>
                <w:tab w:val="left" w:pos="3708"/>
              </w:tabs>
              <w:jc w:val="both"/>
              <w:rPr>
                <w:rFonts w:asciiTheme="minorHAnsi" w:hAnsiTheme="minorHAnsi"/>
                <w:lang w:val="sr-Cyrl-RS"/>
              </w:rPr>
            </w:pPr>
          </w:p>
          <w:p w14:paraId="760C40B0" w14:textId="0D0DB62F"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Проектот „Зелен пат“ - Партнерство за зелен бизнис во рамките на програмата ЕРАЗМУС+ (во натамошниот текст: Проектот) има за цел да го поддржи развојот на зелени вештини во мали и средни претпријатија и организации за поддршка на бизнисот од Србија и Северна Македонија. Овој проект е заедничка иницијатива на Центарот за развој на Јабланичкиот и Пчињскиот округ од Србија и Занаетчиската комора од Скопјe, Северна Македонија. Главната цел на проектот е да се поддржи развојот на зелени вештини кај малите и средни претпријатија и организациите за поддршка на бизниси (ОПБ) од Србија и Северна Македонија преку транснационално партнерство, размена, споделување на образовни ресурси и соработка во областа на заеднички развој и тестирање на практични методи и обука за зелени бизниси.</w:t>
            </w:r>
          </w:p>
          <w:p w14:paraId="4F1A9C78" w14:textId="77777777"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Имплементацијата на проекти овозможува патеки за учење и имплементација на едноставни и практични решенија за зелени бизниси. Овие патеки се трасираат преку три специфични цели: 1) опремување на обучувачите/едукаторите од организациите за поддршка на бизнисот со нови компетенции (вештини, знаења, ставови) и алатки за зелено работење на бизнисот; 2) развивање и тестирање на прилагодена методологија за обука, наставни програми за обука и модули за обука за зелени бизниси; 3) поттикнување на зелената транзиција на малите и средни претпријатија и социо-економските партнери преку размена на најдобри практики и искуства во зелените бизниси.</w:t>
            </w:r>
          </w:p>
          <w:p w14:paraId="219214FD" w14:textId="50EA9839"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Директни корисници на проектот се деловни и јавни субјекти од Србија и Северна Македонија, имено: организации за поддршка на бизнисот, партнери во проектот и мали и средни претпријатија и претприемачи кои работат во секторот на преработувачката индустрија (прехранбена индустрија, преработка на дрво, метал, хемиски производи, текстил, облека, преработка на кожа и производство на обувки), како и социо-економски партнери (национални, регионални и локални власти, даватели на деловни услуги, образовни и истражувачки институции итн.). Планираниот период за имплементација на проектот е 18 месеци.</w:t>
            </w:r>
          </w:p>
          <w:p w14:paraId="7D3114AC" w14:textId="064BCF15" w:rsidR="006B704B" w:rsidRPr="00F35817" w:rsidRDefault="00C70588" w:rsidP="006B704B">
            <w:pPr>
              <w:tabs>
                <w:tab w:val="left" w:pos="3708"/>
              </w:tabs>
              <w:jc w:val="both"/>
              <w:rPr>
                <w:lang w:val="sr-Cyrl-RS"/>
              </w:rPr>
            </w:pPr>
            <w:r w:rsidRPr="00C70588">
              <w:t>Северна Македонија се наоѓа во процес на постепена зелена транзиција, со цел унапредување на одржливиот економски раст, заштита на животната средина и усогласување со Европската зелена агенда. Како земја кандидат за членство во Европската унија, таа ги презема потребните чекори за декарбонизација на економијата, зголемување на користењето на обновливи извори на енергија и подобрување на енергетската ефикасност. Владата, во соработка со меѓународни партнери, обезбедува финансиски инструменти, техничка помош и политики кои ги поттикнуваат малите и средни претпријатија и јавниот сектор да вложуваат во зелени технологии и практики.</w:t>
            </w:r>
            <w:r w:rsidR="006B704B" w:rsidRPr="00F35817">
              <w:rPr>
                <w:lang w:val="sr-Cyrl-RS"/>
              </w:rPr>
              <w:t xml:space="preserve"> Прегледот содржи конкретни примери на компании од </w:t>
            </w:r>
            <w:r>
              <w:rPr>
                <w:lang w:val="sr-Cyrl-RS"/>
              </w:rPr>
              <w:t>Северна Македонија</w:t>
            </w:r>
            <w:r w:rsidR="006B704B" w:rsidRPr="00F35817">
              <w:rPr>
                <w:lang w:val="sr-Cyrl-RS"/>
              </w:rPr>
              <w:t xml:space="preserve"> кои успешно ги користеле достапните механизми за зелено финансирање - но не служи како официјален водич или гаранција за финансирање, туку како инспирација за креирање и подготовка на сопствени проекти во согласност со принципите на одржлив развој.</w:t>
            </w:r>
          </w:p>
          <w:p w14:paraId="2BF3BEDD" w14:textId="77777777" w:rsidR="006B704B" w:rsidRPr="00805384" w:rsidRDefault="006B704B" w:rsidP="006B704B">
            <w:pPr>
              <w:tabs>
                <w:tab w:val="left" w:pos="3708"/>
              </w:tabs>
              <w:jc w:val="both"/>
              <w:rPr>
                <w:lang w:val="mk-MK"/>
              </w:rPr>
            </w:pPr>
          </w:p>
          <w:p w14:paraId="292C05F9" w14:textId="368397A5" w:rsidR="00562E6C" w:rsidRPr="00F35817" w:rsidRDefault="006B704B" w:rsidP="00A82D2F">
            <w:pPr>
              <w:tabs>
                <w:tab w:val="left" w:pos="3708"/>
              </w:tabs>
              <w:jc w:val="both"/>
              <w:rPr>
                <w:lang w:val="sr-Cyrl-RS"/>
              </w:rPr>
            </w:pPr>
            <w:r w:rsidRPr="00F35817">
              <w:rPr>
                <w:lang w:val="sr-Cyrl-RS"/>
              </w:rPr>
              <w:t>Веруваме дека овие примери ќе помогнат полесно да се визуелизираат следните чекори во озеленувањето на бизнисите на малите и средните претпријатија и претприемачите и ќе придонесат за поефикасно користење на достапната поддршка. Исто така, веруваме дека овие примери ќе ги инспирираат учесниците во обуките и корисниците на е-платформата да го искористат стекнатото знаење за купување „зелена“ опрема и материјали, но и за иновативни решенија и нови, креативни пристапи за озеленување на нивните бизниси.</w:t>
            </w:r>
          </w:p>
        </w:tc>
      </w:tr>
    </w:tbl>
    <w:p w14:paraId="76AA226B" w14:textId="0C5F01B2" w:rsidR="00325CA3" w:rsidRPr="00F35817" w:rsidRDefault="00325CA3" w:rsidP="00325CA3">
      <w:pPr>
        <w:spacing w:before="100" w:beforeAutospacing="1" w:after="100" w:afterAutospacing="1"/>
        <w:jc w:val="both"/>
        <w:rPr>
          <w:rFonts w:cs="Calibri"/>
          <w:b/>
          <w:sz w:val="28"/>
          <w:szCs w:val="28"/>
          <w:lang w:val="sr-Cyrl-RS" w:eastAsia="en-GB"/>
        </w:rPr>
      </w:pPr>
      <w:r w:rsidRPr="00F35817">
        <w:rPr>
          <w:b/>
          <w:sz w:val="24"/>
          <w:szCs w:val="24"/>
          <w:lang w:val="sr-Cyrl-RS"/>
        </w:rPr>
        <w:lastRenderedPageBreak/>
        <w:t>Иновативни решенија за зелени бизниси: Примери за добра пракса со поддршка на зелени финансиски инструменти</w:t>
      </w:r>
    </w:p>
    <w:p w14:paraId="34BA0421" w14:textId="26702CE7" w:rsidR="006B704B" w:rsidRPr="00F35817" w:rsidRDefault="006B704B" w:rsidP="00A4237F">
      <w:pPr>
        <w:spacing w:before="100" w:beforeAutospacing="1" w:after="100" w:afterAutospacing="1"/>
        <w:jc w:val="both"/>
        <w:rPr>
          <w:rFonts w:cs="Calibri"/>
          <w:lang w:val="sr-Cyrl-RS" w:eastAsia="en-GB"/>
        </w:rPr>
      </w:pPr>
      <w:r w:rsidRPr="00F35817">
        <w:rPr>
          <w:rFonts w:cs="Calibri"/>
          <w:lang w:val="sr-Cyrl-RS" w:eastAsia="en-GB"/>
        </w:rPr>
        <w:t xml:space="preserve">Подолу се дадени примери за иновативни решенија што ја поттикнуваат зелената трансформација на економијата и општеството, финансирани преку програмата на ЕУ за зелена агенда во </w:t>
      </w:r>
      <w:r w:rsidR="00707B9A">
        <w:rPr>
          <w:rFonts w:cs="Calibri"/>
          <w:lang w:val="sr-Cyrl-RS" w:eastAsia="en-GB"/>
        </w:rPr>
        <w:t>Северна Македонија</w:t>
      </w:r>
      <w:r w:rsidRPr="00F35817">
        <w:rPr>
          <w:rFonts w:cs="Calibri"/>
          <w:lang w:val="sr-Cyrl-RS" w:eastAsia="en-GB"/>
        </w:rPr>
        <w:t>. Овие решенија не само што придонесуваат за заштита на животната средина и подобрување на јавното здравје, туку и ја зголемуваат конкурентноста на српските компании на меѓународните пазари, овозможуваат одржлив економски раст и создавање нови, зелени работни места.</w:t>
      </w:r>
    </w:p>
    <w:p w14:paraId="1BC59588" w14:textId="64558E95" w:rsidR="00B13BA3" w:rsidRPr="00B13BA3" w:rsidRDefault="006B704B" w:rsidP="00B13BA3">
      <w:pPr>
        <w:spacing w:before="100" w:beforeAutospacing="1" w:after="100" w:afterAutospacing="1"/>
        <w:jc w:val="both"/>
        <w:rPr>
          <w:rFonts w:cs="Calibri"/>
          <w:highlight w:val="yellow"/>
          <w:lang w:val="mk-MK" w:eastAsia="en-GB"/>
        </w:rPr>
      </w:pPr>
      <w:r w:rsidRPr="00F35817">
        <w:rPr>
          <w:rFonts w:cs="Calibri"/>
          <w:lang w:val="sr-Cyrl-RS" w:eastAsia="en-GB"/>
        </w:rPr>
        <w:t xml:space="preserve">Презентираните иновации помагаат во намалувањето на емисиите на стакленички гасови (GHG), преминот кон обновливи извори на енергија, зголемувањето на енергетската ефикасност и намалувањето на енергетската сиромаштија. Тие исто така придонесуваат за повторна употреба на отпадот за создавање нови производи, подобрување на квалитетот на воздухот и зачувување на биодиверзитетот. </w:t>
      </w:r>
    </w:p>
    <w:p w14:paraId="18AC0DC5" w14:textId="1F04283F" w:rsidR="00B13BA3" w:rsidRPr="00B13BA3" w:rsidRDefault="002F6DEC" w:rsidP="002F6DEC">
      <w:pPr>
        <w:spacing w:before="100" w:beforeAutospacing="1" w:after="100" w:afterAutospacing="1"/>
        <w:jc w:val="both"/>
        <w:rPr>
          <w:rFonts w:cs="Calibri"/>
          <w:highlight w:val="yellow"/>
          <w:lang w:val="mk-MK" w:eastAsia="en-GB"/>
        </w:rPr>
      </w:pPr>
      <w:r w:rsidRPr="002F6DEC">
        <w:rPr>
          <w:rFonts w:cs="Calibri"/>
          <w:lang w:val="mk-MK" w:eastAsia="en-GB"/>
        </w:rPr>
        <w:t>Компаниите во Северна Македонија, со поддршка од ЕУ Зелената агенда, веќе реализираат и подготвуваат иновативни решенија што ја поттикнуваат зелената трансформација на економијата и општеството. Преку соларни електрани, паметни згради, зелени кредити, циркуларни стартапи и LIFE проекти, се создаваат нови работни места, се намалува загадувањето и се зголемува конкурентноста на земјата во европски рамки</w:t>
      </w:r>
      <w:r>
        <w:rPr>
          <w:rFonts w:cs="Calibri"/>
          <w:lang w:val="mk-MK" w:eastAsia="en-GB"/>
        </w:rPr>
        <w:t>.</w:t>
      </w:r>
    </w:p>
    <w:p w14:paraId="0C707EA0" w14:textId="77777777" w:rsidR="006B704B" w:rsidRDefault="006B704B" w:rsidP="006B704B">
      <w:pPr>
        <w:spacing w:before="100" w:beforeAutospacing="1" w:after="100" w:afterAutospacing="1"/>
        <w:jc w:val="both"/>
        <w:rPr>
          <w:rFonts w:cs="Calibri"/>
          <w:lang w:val="sr-Cyrl-RS" w:eastAsia="en-GB"/>
        </w:rPr>
      </w:pPr>
      <w:r w:rsidRPr="00F35817">
        <w:rPr>
          <w:rFonts w:cs="Calibri"/>
          <w:lang w:val="sr-Cyrl-RS" w:eastAsia="en-GB"/>
        </w:rPr>
        <w:t>Сакаме да ги охрабриме малите и средни претпријатија да ги препознаат зелените технолошки иновации и одржливите практики како можност за подобрување на нивниот бизнис, зголемување на конкурентноста и отворање нови пазарни можности. Со овој пристап, тие не само што ќе го подобрат својот бизнис, туку ќе станат и активни носители на зелената трансформација - придонесувајќи за заштита на животната средина, зајакнување на социјалната отпорност и градење одржлива економија.</w:t>
      </w:r>
    </w:p>
    <w:p w14:paraId="28EAD26F" w14:textId="77777777" w:rsidR="0002093D" w:rsidRDefault="0002093D" w:rsidP="006B704B">
      <w:pPr>
        <w:spacing w:before="100" w:beforeAutospacing="1" w:after="100" w:afterAutospacing="1"/>
        <w:jc w:val="both"/>
        <w:rPr>
          <w:rFonts w:cs="Calibri"/>
          <w:lang w:val="sr-Cyrl-RS" w:eastAsia="en-GB"/>
        </w:rPr>
      </w:pPr>
    </w:p>
    <w:p w14:paraId="26587F5C" w14:textId="77777777" w:rsidR="00FD52C8" w:rsidRPr="00FD52C8" w:rsidRDefault="00FD52C8" w:rsidP="00FD52C8">
      <w:pPr>
        <w:spacing w:before="100" w:beforeAutospacing="1" w:after="100" w:afterAutospacing="1"/>
        <w:jc w:val="both"/>
        <w:rPr>
          <w:rFonts w:cs="Calibri"/>
          <w:b/>
          <w:bCs/>
          <w:lang w:val="mk-MK" w:eastAsia="en-GB"/>
        </w:rPr>
      </w:pPr>
      <w:r w:rsidRPr="00FD52C8">
        <w:rPr>
          <w:rFonts w:cs="Calibri"/>
          <w:b/>
          <w:bCs/>
          <w:lang w:val="mk-MK" w:eastAsia="en-GB"/>
        </w:rPr>
        <w:t>1. Зелениот финансиски фонд (Green Finance Facility – GFF)</w:t>
      </w:r>
    </w:p>
    <w:p w14:paraId="16F32F85" w14:textId="15792052" w:rsidR="00FD52C8" w:rsidRPr="00FD52C8" w:rsidRDefault="00FD52C8" w:rsidP="00FD52C8">
      <w:pPr>
        <w:spacing w:before="100" w:beforeAutospacing="1" w:after="100" w:afterAutospacing="1"/>
        <w:jc w:val="both"/>
        <w:rPr>
          <w:rFonts w:cs="Calibri"/>
          <w:lang w:val="mk-MK" w:eastAsia="en-GB"/>
        </w:rPr>
      </w:pPr>
      <w:r w:rsidRPr="00FD52C8">
        <w:rPr>
          <w:rFonts w:cs="Calibri"/>
          <w:lang w:val="mk-MK" w:eastAsia="en-GB"/>
        </w:rPr>
        <w:t>GFF е заедничка иницијатива на Владата на Северна Македонија, УНДП, ЕБОР и Joint SDG Fund, со вкупен буџет од 46 милиони долари.</w:t>
      </w:r>
      <w:r w:rsidRPr="00FD52C8">
        <w:rPr>
          <w:rFonts w:cs="Calibri"/>
          <w:lang w:val="mk-MK" w:eastAsia="en-GB"/>
        </w:rPr>
        <w:br/>
        <w:t>Програмата обезбедува поволни кредити за мали и средни претпријатија (МСП) и домаќинства за инвестиции во обновливи извори на енергија и енергетска ефикасност.</w:t>
      </w:r>
      <w:r w:rsidRPr="00FD52C8">
        <w:rPr>
          <w:rFonts w:cs="Calibri"/>
          <w:lang w:val="mk-MK" w:eastAsia="en-GB"/>
        </w:rPr>
        <w:br/>
        <w:t>Партнерски банки вклучуваат Комерцијална банка, ТТК банка, ПроКредит банка и Шпаркасе банка.</w:t>
      </w:r>
    </w:p>
    <w:p w14:paraId="0A72BA31" w14:textId="20BE8756" w:rsidR="00FD52C8" w:rsidRPr="00FD52C8" w:rsidRDefault="00FD52C8" w:rsidP="00FD52C8">
      <w:pPr>
        <w:spacing w:before="100" w:beforeAutospacing="1" w:after="100" w:afterAutospacing="1"/>
        <w:jc w:val="both"/>
        <w:rPr>
          <w:rFonts w:cs="Calibri"/>
          <w:b/>
          <w:bCs/>
          <w:lang w:val="mk-MK" w:eastAsia="en-GB"/>
        </w:rPr>
      </w:pPr>
      <w:r w:rsidRPr="00FD52C8">
        <w:rPr>
          <w:rFonts w:cs="Calibri"/>
          <w:b/>
          <w:bCs/>
          <w:lang w:val="mk-MK" w:eastAsia="en-GB"/>
        </w:rPr>
        <w:t>2.  ТрансКоп Битола</w:t>
      </w:r>
    </w:p>
    <w:p w14:paraId="6E5D981B" w14:textId="77777777" w:rsidR="00FD52C8" w:rsidRPr="00FD52C8" w:rsidRDefault="00FD52C8" w:rsidP="00FD52C8">
      <w:pPr>
        <w:spacing w:before="100" w:beforeAutospacing="1" w:after="100" w:afterAutospacing="1"/>
        <w:jc w:val="both"/>
        <w:rPr>
          <w:rFonts w:cs="Calibri"/>
          <w:lang w:val="mk-MK" w:eastAsia="en-GB"/>
        </w:rPr>
      </w:pPr>
      <w:r w:rsidRPr="00FD52C8">
        <w:rPr>
          <w:rFonts w:cs="Calibri"/>
          <w:lang w:val="mk-MK" w:eastAsia="en-GB"/>
        </w:rPr>
        <w:t>ТрансКоп Битола инвестираше во фотоволтаична централа на меѓуградската автобуска станица во Битола.</w:t>
      </w:r>
      <w:r w:rsidRPr="00FD52C8">
        <w:rPr>
          <w:rFonts w:cs="Calibri"/>
          <w:lang w:val="mk-MK" w:eastAsia="en-GB"/>
        </w:rPr>
        <w:br/>
        <w:t>Преку GFF, компанијата доби поволен кредит и техничка поддршка, што резултираше со значително намалување на трошоците за електрична енергија и позитивно влијание врз животната средина.</w:t>
      </w:r>
    </w:p>
    <w:p w14:paraId="1C70EA3E" w14:textId="77777777" w:rsidR="00FD52C8" w:rsidRPr="00FD52C8" w:rsidRDefault="00FD52C8" w:rsidP="00FD52C8">
      <w:pPr>
        <w:spacing w:before="100" w:beforeAutospacing="1" w:after="100" w:afterAutospacing="1"/>
        <w:jc w:val="both"/>
        <w:rPr>
          <w:rFonts w:cs="Calibri"/>
          <w:b/>
          <w:bCs/>
          <w:lang w:val="mk-MK" w:eastAsia="en-GB"/>
        </w:rPr>
      </w:pPr>
      <w:r w:rsidRPr="00FD52C8">
        <w:rPr>
          <w:rFonts w:cs="Calibri"/>
          <w:b/>
          <w:bCs/>
          <w:lang w:val="mk-MK" w:eastAsia="en-GB"/>
        </w:rPr>
        <w:t>3. Поддршка од Европската инвестициска банка (ЕИБ)</w:t>
      </w:r>
    </w:p>
    <w:p w14:paraId="32D707DE" w14:textId="74BF3D2F" w:rsidR="00FD52C8" w:rsidRPr="00FD52C8" w:rsidRDefault="00FD52C8" w:rsidP="00FD52C8">
      <w:pPr>
        <w:spacing w:before="100" w:beforeAutospacing="1" w:after="100" w:afterAutospacing="1"/>
        <w:jc w:val="both"/>
        <w:rPr>
          <w:rFonts w:cs="Calibri"/>
          <w:lang w:val="mk-MK" w:eastAsia="en-GB"/>
        </w:rPr>
      </w:pPr>
      <w:r w:rsidRPr="00FD52C8">
        <w:rPr>
          <w:rFonts w:cs="Calibri"/>
          <w:lang w:val="mk-MK" w:eastAsia="en-GB"/>
        </w:rPr>
        <w:t>Во 2023 година, ЕИБ обезбеди грант од 1 милион евра за техничка помош на Развојната банка на Северна</w:t>
      </w:r>
      <w:r w:rsidR="004B10E6">
        <w:rPr>
          <w:rFonts w:cs="Calibri"/>
          <w:lang w:val="mk-MK" w:eastAsia="en-GB"/>
        </w:rPr>
        <w:t xml:space="preserve"> </w:t>
      </w:r>
      <w:r w:rsidRPr="00FD52C8">
        <w:rPr>
          <w:rFonts w:cs="Calibri"/>
          <w:lang w:val="mk-MK" w:eastAsia="en-GB"/>
        </w:rPr>
        <w:t>Македонија</w:t>
      </w:r>
      <w:r w:rsidR="004B10E6">
        <w:rPr>
          <w:rFonts w:cs="Calibri"/>
          <w:lang w:val="mk-MK" w:eastAsia="en-GB"/>
        </w:rPr>
        <w:t xml:space="preserve"> </w:t>
      </w:r>
      <w:r w:rsidRPr="00FD52C8">
        <w:rPr>
          <w:rFonts w:cs="Calibri"/>
          <w:lang w:val="mk-MK" w:eastAsia="en-GB"/>
        </w:rPr>
        <w:t>(РБСМ),</w:t>
      </w:r>
      <w:r w:rsidR="004B10E6">
        <w:rPr>
          <w:rFonts w:cs="Calibri"/>
          <w:lang w:val="mk-MK" w:eastAsia="en-GB"/>
        </w:rPr>
        <w:t xml:space="preserve"> </w:t>
      </w:r>
      <w:r w:rsidRPr="00FD52C8">
        <w:rPr>
          <w:rFonts w:cs="Calibri"/>
          <w:lang w:val="mk-MK" w:eastAsia="en-GB"/>
        </w:rPr>
        <w:t>со цел да се поттикне зеленото финансирање за МСП.</w:t>
      </w:r>
    </w:p>
    <w:p w14:paraId="3684FB65" w14:textId="77777777" w:rsidR="00FD52C8" w:rsidRPr="00FD52C8" w:rsidRDefault="00FD52C8" w:rsidP="00FD52C8">
      <w:pPr>
        <w:spacing w:before="100" w:beforeAutospacing="1" w:after="100" w:afterAutospacing="1"/>
        <w:jc w:val="both"/>
        <w:rPr>
          <w:rFonts w:cs="Calibri"/>
          <w:b/>
          <w:bCs/>
          <w:lang w:val="mk-MK" w:eastAsia="en-GB"/>
        </w:rPr>
      </w:pPr>
      <w:r w:rsidRPr="00FD52C8">
        <w:rPr>
          <w:rFonts w:cs="Calibri"/>
          <w:b/>
          <w:bCs/>
          <w:lang w:val="mk-MK" w:eastAsia="en-GB"/>
        </w:rPr>
        <w:t>4. Ветерен парк Богданци</w:t>
      </w:r>
    </w:p>
    <w:p w14:paraId="26AD210B" w14:textId="77777777" w:rsidR="00FD52C8" w:rsidRPr="00FD52C8" w:rsidRDefault="00FD52C8" w:rsidP="00FD52C8">
      <w:pPr>
        <w:spacing w:before="100" w:beforeAutospacing="1" w:after="100" w:afterAutospacing="1"/>
        <w:jc w:val="both"/>
        <w:rPr>
          <w:rFonts w:cs="Calibri"/>
          <w:lang w:val="mk-MK" w:eastAsia="en-GB"/>
        </w:rPr>
      </w:pPr>
      <w:r w:rsidRPr="00FD52C8">
        <w:rPr>
          <w:rFonts w:cs="Calibri"/>
          <w:lang w:val="mk-MK" w:eastAsia="en-GB"/>
        </w:rPr>
        <w:t>Ветерниот парк Богданци, со капацитет од 36,8 MW, е првиот ваков проект во земјата.</w:t>
      </w:r>
      <w:r w:rsidRPr="00FD52C8">
        <w:rPr>
          <w:rFonts w:cs="Calibri"/>
          <w:lang w:val="mk-MK" w:eastAsia="en-GB"/>
        </w:rPr>
        <w:br/>
        <w:t>Изграден е со финансиска поддршка од германската KfW банка и ЕСМ.</w:t>
      </w:r>
      <w:r w:rsidRPr="00FD52C8">
        <w:rPr>
          <w:rFonts w:cs="Calibri"/>
          <w:lang w:val="mk-MK" w:eastAsia="en-GB"/>
        </w:rPr>
        <w:br/>
        <w:t>Проектот придонесува за зголемување на производството на електрична енергија од обновливи извори и намалување на емисиите на CO₂.</w:t>
      </w:r>
    </w:p>
    <w:p w14:paraId="60E539F6" w14:textId="77777777" w:rsidR="00FD52C8" w:rsidRPr="00FD52C8" w:rsidRDefault="00FD52C8" w:rsidP="00FD52C8">
      <w:pPr>
        <w:spacing w:before="100" w:beforeAutospacing="1" w:after="100" w:afterAutospacing="1"/>
        <w:jc w:val="both"/>
        <w:rPr>
          <w:rFonts w:cs="Calibri"/>
          <w:b/>
          <w:bCs/>
          <w:lang w:val="mk-MK" w:eastAsia="en-GB"/>
        </w:rPr>
      </w:pPr>
      <w:r w:rsidRPr="00FD52C8">
        <w:rPr>
          <w:rFonts w:cs="Calibri"/>
          <w:b/>
          <w:bCs/>
          <w:lang w:val="mk-MK" w:eastAsia="en-GB"/>
        </w:rPr>
        <w:t>5. Ветерен парк Штип</w:t>
      </w:r>
    </w:p>
    <w:p w14:paraId="54ED78DE" w14:textId="4ACE16A9" w:rsidR="00FD52C8" w:rsidRDefault="00FD52C8" w:rsidP="00FD52C8">
      <w:pPr>
        <w:spacing w:before="100" w:beforeAutospacing="1" w:after="100" w:afterAutospacing="1"/>
        <w:jc w:val="both"/>
        <w:rPr>
          <w:rFonts w:cs="Calibri"/>
          <w:lang w:val="mk-MK" w:eastAsia="en-GB"/>
        </w:rPr>
      </w:pPr>
      <w:r w:rsidRPr="00FD52C8">
        <w:rPr>
          <w:rFonts w:cs="Calibri"/>
          <w:lang w:val="mk-MK" w:eastAsia="en-GB"/>
        </w:rPr>
        <w:t>Alcazar Energy Partners инвестираше 500 милиони долари во најголемиот ветерен парк во Северна Македонија(400MW),</w:t>
      </w:r>
      <w:r w:rsidR="004B10E6">
        <w:rPr>
          <w:rFonts w:cs="Calibri"/>
          <w:lang w:val="mk-MK" w:eastAsia="en-GB"/>
        </w:rPr>
        <w:t xml:space="preserve"> </w:t>
      </w:r>
      <w:r w:rsidRPr="00FD52C8">
        <w:rPr>
          <w:rFonts w:cs="Calibri"/>
          <w:lang w:val="mk-MK" w:eastAsia="en-GB"/>
        </w:rPr>
        <w:t>кој ќе обезбеди струја за над 100.000 домаќинства и ќе намали CO₂ емисии за 670.000 тони годишно.</w:t>
      </w:r>
    </w:p>
    <w:p w14:paraId="608F79D1" w14:textId="0824A649" w:rsidR="004D61A0" w:rsidRPr="004D61A0" w:rsidRDefault="004D61A0" w:rsidP="004D61A0">
      <w:pPr>
        <w:spacing w:before="100" w:beforeAutospacing="1" w:after="100" w:afterAutospacing="1"/>
        <w:jc w:val="both"/>
        <w:rPr>
          <w:rFonts w:cs="Calibri"/>
          <w:b/>
          <w:bCs/>
          <w:lang w:val="mk-MK" w:eastAsia="en-GB"/>
        </w:rPr>
      </w:pPr>
      <w:r w:rsidRPr="004D61A0">
        <w:rPr>
          <w:rFonts w:cs="Calibri"/>
          <w:b/>
          <w:bCs/>
          <w:lang w:val="mk-MK" w:eastAsia="en-GB"/>
        </w:rPr>
        <w:t>6.  Пакомак</w:t>
      </w:r>
    </w:p>
    <w:p w14:paraId="7B413511" w14:textId="77777777" w:rsidR="004D61A0" w:rsidRPr="004D61A0" w:rsidRDefault="004D61A0" w:rsidP="004D61A0">
      <w:pPr>
        <w:spacing w:before="100" w:beforeAutospacing="1" w:after="100" w:afterAutospacing="1"/>
        <w:jc w:val="both"/>
        <w:rPr>
          <w:rFonts w:cs="Calibri"/>
          <w:lang w:val="mk-MK" w:eastAsia="en-GB"/>
        </w:rPr>
      </w:pPr>
      <w:r w:rsidRPr="004D61A0">
        <w:rPr>
          <w:rFonts w:cs="Calibri"/>
          <w:lang w:val="mk-MK" w:eastAsia="en-GB"/>
        </w:rPr>
        <w:t>Пакомак е непрофитна компанија, основана на 3.12.2010, чија дејност е управување со отпадот од пакување, согласно со новиот Закон за управување со пакувањето и со отпадот од пакување.</w:t>
      </w:r>
    </w:p>
    <w:p w14:paraId="0F9DCDD5" w14:textId="77777777" w:rsidR="004D61A0" w:rsidRPr="004D61A0" w:rsidRDefault="004D61A0" w:rsidP="004D61A0">
      <w:pPr>
        <w:spacing w:before="100" w:beforeAutospacing="1" w:after="100" w:afterAutospacing="1"/>
        <w:jc w:val="both"/>
        <w:rPr>
          <w:rFonts w:cs="Calibri"/>
          <w:lang w:val="mk-MK" w:eastAsia="en-GB"/>
        </w:rPr>
      </w:pPr>
      <w:r w:rsidRPr="004D61A0">
        <w:rPr>
          <w:rFonts w:cs="Calibri"/>
          <w:lang w:val="mk-MK" w:eastAsia="en-GB"/>
        </w:rPr>
        <w:t>Основачи на компанијата се 11 водечки производствени компании во Македонија: Пивара Скопје АД Скопје; Прилепска пиварница АД Прилеп; Витаминка АД Прилеп; Пелистерка ДОО Скопје; Магрони ДОО Скопје (Ладна, Добра вода); Кодинг Дооел Кавадарци (Горска вода); Кожувчанка ДОО Кавадарци; Вивакс Дооел Скопје; Благој Ѓорев АД Велес; ВВ Тиквеш АД; ВВ Стоби АД.</w:t>
      </w:r>
    </w:p>
    <w:p w14:paraId="33EE1336" w14:textId="77777777" w:rsidR="004D61A0" w:rsidRPr="004D61A0" w:rsidRDefault="004D61A0" w:rsidP="004D61A0">
      <w:pPr>
        <w:spacing w:before="100" w:beforeAutospacing="1" w:after="100" w:afterAutospacing="1"/>
        <w:jc w:val="both"/>
        <w:rPr>
          <w:rFonts w:cs="Calibri"/>
          <w:lang w:val="mk-MK" w:eastAsia="en-GB"/>
        </w:rPr>
      </w:pPr>
      <w:r w:rsidRPr="004D61A0">
        <w:rPr>
          <w:rFonts w:cs="Calibri"/>
          <w:lang w:val="mk-MK" w:eastAsia="en-GB"/>
        </w:rPr>
        <w:t>Од 20 мај 2011 Пакомак е 34-тата национална непрофитна компанија што се приклучува кон интернационална мрежа за управување со амбалажен отпад </w:t>
      </w:r>
      <w:hyperlink r:id="rId8" w:tgtFrame="_blank" w:history="1">
        <w:r w:rsidRPr="004D61A0">
          <w:rPr>
            <w:rStyle w:val="Hyperlink"/>
            <w:rFonts w:cs="Calibri"/>
            <w:lang w:val="mk-MK" w:eastAsia="en-GB"/>
          </w:rPr>
          <w:t>ProEurope</w:t>
        </w:r>
      </w:hyperlink>
      <w:r w:rsidRPr="004D61A0">
        <w:rPr>
          <w:rFonts w:cs="Calibri"/>
          <w:lang w:val="mk-MK" w:eastAsia="en-GB"/>
        </w:rPr>
        <w:t>, со што ја добива лиценцата за употреба на симболот "Green Dot". Green Dot е финансиски симбол, кој означува дека за пакувањето што го има тој знак е платен надомест за постапување со отпадот по употребата.  </w:t>
      </w:r>
    </w:p>
    <w:p w14:paraId="4F63C63F" w14:textId="77777777" w:rsidR="004D61A0" w:rsidRDefault="004D61A0" w:rsidP="004D61A0">
      <w:pPr>
        <w:spacing w:before="100" w:beforeAutospacing="1" w:after="100" w:afterAutospacing="1"/>
        <w:jc w:val="both"/>
        <w:rPr>
          <w:rFonts w:cs="Calibri"/>
          <w:lang w:val="mk-MK" w:eastAsia="en-GB"/>
        </w:rPr>
      </w:pPr>
      <w:r w:rsidRPr="004D61A0">
        <w:rPr>
          <w:rFonts w:cs="Calibri"/>
          <w:lang w:val="mk-MK" w:eastAsia="en-GB"/>
        </w:rPr>
        <w:t>Целта на компанијата е да изгради долготрајна и цврста соработка со своите клиенти и со државата и согласно со европските регулативи - да го минимизира негативното влијание на амбалажниот отпад врз животната средина, да промовира одговорен однос на компаниите кон амбалажниот отпад, овозможувајќи со тоа поквалитетен живот за сите</w:t>
      </w:r>
    </w:p>
    <w:p w14:paraId="18780335" w14:textId="5382A183" w:rsidR="009D383F" w:rsidRPr="009D383F" w:rsidRDefault="00B67E37" w:rsidP="009D383F">
      <w:pPr>
        <w:spacing w:before="100" w:beforeAutospacing="1" w:after="100" w:afterAutospacing="1"/>
        <w:jc w:val="both"/>
        <w:rPr>
          <w:rFonts w:cs="Calibri"/>
          <w:lang w:val="mk-MK" w:eastAsia="en-GB"/>
        </w:rPr>
      </w:pPr>
      <w:r>
        <w:rPr>
          <w:rFonts w:cs="Calibri"/>
          <w:b/>
          <w:bCs/>
          <w:lang w:val="en-US" w:eastAsia="en-GB"/>
        </w:rPr>
        <w:t>7</w:t>
      </w:r>
      <w:r w:rsidR="009D383F" w:rsidRPr="009D383F">
        <w:rPr>
          <w:rFonts w:cs="Calibri"/>
          <w:b/>
          <w:bCs/>
          <w:lang w:val="mk-MK" w:eastAsia="en-GB"/>
        </w:rPr>
        <w:t>. Соларни фотонапонски електрани на Електрани на Северна Македонија (ЕСМ): Oslomej и Битола</w:t>
      </w:r>
    </w:p>
    <w:p w14:paraId="4F1FCC23"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Опис на проектот:</w:t>
      </w:r>
    </w:p>
    <w:p w14:paraId="11E74A49" w14:textId="77777777" w:rsidR="009D383F" w:rsidRPr="009D383F" w:rsidRDefault="009D383F" w:rsidP="009D383F">
      <w:pPr>
        <w:numPr>
          <w:ilvl w:val="0"/>
          <w:numId w:val="29"/>
        </w:numPr>
        <w:spacing w:before="100" w:beforeAutospacing="1" w:after="100" w:afterAutospacing="1"/>
        <w:jc w:val="both"/>
        <w:rPr>
          <w:rFonts w:cs="Calibri"/>
          <w:lang w:val="mk-MK" w:eastAsia="en-GB"/>
        </w:rPr>
      </w:pPr>
      <w:r w:rsidRPr="009D383F">
        <w:rPr>
          <w:rFonts w:cs="Calibri"/>
          <w:lang w:val="mk-MK" w:eastAsia="en-GB"/>
        </w:rPr>
        <w:t>Државната компанија ЕСМ, со поддршка од ЕУ и ЕБОР преку Western Balkans Investment Framework (WBIF), реализира трансформација на поранешни јагленски термоелектрани во соларни фотонапонски електрани.</w:t>
      </w:r>
    </w:p>
    <w:p w14:paraId="711997C0" w14:textId="77777777" w:rsidR="009D383F" w:rsidRPr="009D383F" w:rsidRDefault="009D383F" w:rsidP="009D383F">
      <w:pPr>
        <w:numPr>
          <w:ilvl w:val="0"/>
          <w:numId w:val="29"/>
        </w:numPr>
        <w:spacing w:before="100" w:beforeAutospacing="1" w:after="100" w:afterAutospacing="1"/>
        <w:jc w:val="both"/>
        <w:rPr>
          <w:rFonts w:cs="Calibri"/>
          <w:lang w:val="mk-MK" w:eastAsia="en-GB"/>
        </w:rPr>
      </w:pPr>
      <w:r w:rsidRPr="009D383F">
        <w:rPr>
          <w:rFonts w:cs="Calibri"/>
          <w:lang w:val="mk-MK" w:eastAsia="en-GB"/>
        </w:rPr>
        <w:t>Проектот Oslomej 2 и Bitola Solar Photovoltaic Power Plants е флагшип-проект во рамки на Економскиот и инвестициски план на ЕУ за Западен Балкан.</w:t>
      </w:r>
    </w:p>
    <w:p w14:paraId="7DDF9AA8" w14:textId="77777777" w:rsidR="009D383F" w:rsidRPr="009D383F" w:rsidRDefault="009D383F" w:rsidP="009D383F">
      <w:pPr>
        <w:numPr>
          <w:ilvl w:val="0"/>
          <w:numId w:val="29"/>
        </w:numPr>
        <w:spacing w:before="100" w:beforeAutospacing="1" w:after="100" w:afterAutospacing="1"/>
        <w:jc w:val="both"/>
        <w:rPr>
          <w:rFonts w:cs="Calibri"/>
          <w:lang w:val="mk-MK" w:eastAsia="en-GB"/>
        </w:rPr>
      </w:pPr>
      <w:r w:rsidRPr="009D383F">
        <w:rPr>
          <w:rFonts w:cs="Calibri"/>
          <w:lang w:val="mk-MK" w:eastAsia="en-GB"/>
        </w:rPr>
        <w:t>Вкупно 30 MW нови соларни капацитети се градат на исцрпените рудници од термоелектраните Oslomej (10 MW) и покрај ТЕЦ Битола (20 MW).</w:t>
      </w:r>
    </w:p>
    <w:p w14:paraId="063D0D41"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Иновативни аспекти и општествен импакт:</w:t>
      </w:r>
    </w:p>
    <w:p w14:paraId="6F323194" w14:textId="77777777" w:rsidR="009D383F" w:rsidRPr="009D383F" w:rsidRDefault="009D383F" w:rsidP="009D383F">
      <w:pPr>
        <w:numPr>
          <w:ilvl w:val="0"/>
          <w:numId w:val="30"/>
        </w:numPr>
        <w:spacing w:before="100" w:beforeAutospacing="1" w:after="100" w:afterAutospacing="1"/>
        <w:jc w:val="both"/>
        <w:rPr>
          <w:rFonts w:cs="Calibri"/>
          <w:lang w:val="mk-MK" w:eastAsia="en-GB"/>
        </w:rPr>
      </w:pPr>
      <w:r w:rsidRPr="009D383F">
        <w:rPr>
          <w:rFonts w:cs="Calibri"/>
          <w:lang w:val="mk-MK" w:eastAsia="en-GB"/>
        </w:rPr>
        <w:t>Претворање на деградирани рударски површини во зелени енергетски хабови.</w:t>
      </w:r>
    </w:p>
    <w:p w14:paraId="73A4F918" w14:textId="77777777" w:rsidR="009D383F" w:rsidRPr="009D383F" w:rsidRDefault="009D383F" w:rsidP="009D383F">
      <w:pPr>
        <w:numPr>
          <w:ilvl w:val="0"/>
          <w:numId w:val="30"/>
        </w:numPr>
        <w:spacing w:before="100" w:beforeAutospacing="1" w:after="100" w:afterAutospacing="1"/>
        <w:jc w:val="both"/>
        <w:rPr>
          <w:rFonts w:cs="Calibri"/>
          <w:lang w:val="mk-MK" w:eastAsia="en-GB"/>
        </w:rPr>
      </w:pPr>
      <w:r w:rsidRPr="009D383F">
        <w:rPr>
          <w:rFonts w:cs="Calibri"/>
          <w:lang w:val="mk-MK" w:eastAsia="en-GB"/>
        </w:rPr>
        <w:t>Проектот ќе произведува 48 GWh електрична енергија годишно (доволно за 10.000 домаќинства) и ќе намали 44.000 тони CO2 годишно.</w:t>
      </w:r>
    </w:p>
    <w:p w14:paraId="1AF4F127" w14:textId="647B1CE8" w:rsidR="009D383F" w:rsidRPr="009D383F" w:rsidRDefault="009D383F" w:rsidP="009D383F">
      <w:pPr>
        <w:numPr>
          <w:ilvl w:val="0"/>
          <w:numId w:val="30"/>
        </w:numPr>
        <w:spacing w:before="100" w:beforeAutospacing="1" w:after="100" w:afterAutospacing="1"/>
        <w:jc w:val="both"/>
        <w:rPr>
          <w:rFonts w:cs="Calibri"/>
          <w:lang w:val="mk-MK" w:eastAsia="en-GB"/>
        </w:rPr>
      </w:pPr>
      <w:r w:rsidRPr="009D383F">
        <w:rPr>
          <w:rFonts w:cs="Calibri"/>
          <w:lang w:val="mk-MK" w:eastAsia="en-GB"/>
        </w:rPr>
        <w:t>Воведување на програми за преквалификација и нови работни места за поранешните рудари, што го прави пример за праведна транзиција</w:t>
      </w:r>
    </w:p>
    <w:p w14:paraId="41D41A24"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Финансирање:</w:t>
      </w:r>
    </w:p>
    <w:p w14:paraId="00FBC108" w14:textId="77777777" w:rsidR="009D383F" w:rsidRPr="009D383F" w:rsidRDefault="009D383F" w:rsidP="009D383F">
      <w:pPr>
        <w:numPr>
          <w:ilvl w:val="0"/>
          <w:numId w:val="31"/>
        </w:numPr>
        <w:spacing w:before="100" w:beforeAutospacing="1" w:after="100" w:afterAutospacing="1"/>
        <w:jc w:val="both"/>
        <w:rPr>
          <w:rFonts w:cs="Calibri"/>
          <w:lang w:val="mk-MK" w:eastAsia="en-GB"/>
        </w:rPr>
      </w:pPr>
      <w:r w:rsidRPr="009D383F">
        <w:rPr>
          <w:rFonts w:cs="Calibri"/>
          <w:lang w:val="mk-MK" w:eastAsia="en-GB"/>
        </w:rPr>
        <w:t>ЕУ грант од 5 милиони евра и ЕБОР кредит од 25 милиони евра.</w:t>
      </w:r>
    </w:p>
    <w:p w14:paraId="2087E2E2" w14:textId="3D7A0F89" w:rsidR="009D383F" w:rsidRPr="009D383F" w:rsidRDefault="00B67E37" w:rsidP="009D383F">
      <w:pPr>
        <w:spacing w:before="100" w:beforeAutospacing="1" w:after="100" w:afterAutospacing="1"/>
        <w:jc w:val="both"/>
        <w:rPr>
          <w:rFonts w:cs="Calibri"/>
          <w:lang w:val="mk-MK" w:eastAsia="en-GB"/>
        </w:rPr>
      </w:pPr>
      <w:r>
        <w:rPr>
          <w:rFonts w:cs="Calibri"/>
          <w:b/>
          <w:bCs/>
          <w:lang w:val="en-US" w:eastAsia="en-GB"/>
        </w:rPr>
        <w:t>7</w:t>
      </w:r>
      <w:r w:rsidR="009D383F" w:rsidRPr="009D383F">
        <w:rPr>
          <w:rFonts w:cs="Calibri"/>
          <w:b/>
          <w:bCs/>
          <w:lang w:val="mk-MK" w:eastAsia="en-GB"/>
        </w:rPr>
        <w:t>. Проект SEBCoVE – Smart Electricity for Buildings</w:t>
      </w:r>
    </w:p>
    <w:p w14:paraId="1817AF40"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Опис на проектот:</w:t>
      </w:r>
    </w:p>
    <w:p w14:paraId="5FAAF819" w14:textId="77777777" w:rsidR="009D383F" w:rsidRPr="009D383F" w:rsidRDefault="009D383F" w:rsidP="009D383F">
      <w:pPr>
        <w:numPr>
          <w:ilvl w:val="0"/>
          <w:numId w:val="32"/>
        </w:numPr>
        <w:spacing w:before="100" w:beforeAutospacing="1" w:after="100" w:afterAutospacing="1"/>
        <w:jc w:val="both"/>
        <w:rPr>
          <w:rFonts w:cs="Calibri"/>
          <w:lang w:val="mk-MK" w:eastAsia="en-GB"/>
        </w:rPr>
      </w:pPr>
      <w:r w:rsidRPr="009D383F">
        <w:rPr>
          <w:rFonts w:cs="Calibri"/>
          <w:lang w:val="mk-MK" w:eastAsia="en-GB"/>
        </w:rPr>
        <w:t>Северна Македонија, заедно со шест земји членки на ЕУ, работи на проектот SEBCoVE (Smart Electricity for Buildings), финансиран од Европската комисија со буџет од 3,7 милиони евра.</w:t>
      </w:r>
    </w:p>
    <w:p w14:paraId="3CFCCCB8" w14:textId="77777777" w:rsidR="009D383F" w:rsidRPr="009D383F" w:rsidRDefault="009D383F" w:rsidP="009D383F">
      <w:pPr>
        <w:numPr>
          <w:ilvl w:val="0"/>
          <w:numId w:val="32"/>
        </w:numPr>
        <w:spacing w:before="100" w:beforeAutospacing="1" w:after="100" w:afterAutospacing="1"/>
        <w:jc w:val="both"/>
        <w:rPr>
          <w:rFonts w:cs="Calibri"/>
          <w:lang w:val="mk-MK" w:eastAsia="en-GB"/>
        </w:rPr>
      </w:pPr>
      <w:r w:rsidRPr="009D383F">
        <w:rPr>
          <w:rFonts w:cs="Calibri"/>
          <w:lang w:val="mk-MK" w:eastAsia="en-GB"/>
        </w:rPr>
        <w:t>Проектот опфаќа 19 партнери (16 од ЕУ, 3 од Македонија) и има за цел развој на знаења и практики за енергетска ефикасност и паметно управување со електрична енергија во зградите.</w:t>
      </w:r>
    </w:p>
    <w:p w14:paraId="49468F6D"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Иновативни аспекти:</w:t>
      </w:r>
    </w:p>
    <w:p w14:paraId="32F9279C" w14:textId="77777777" w:rsidR="009D383F" w:rsidRPr="009D383F" w:rsidRDefault="009D383F" w:rsidP="009D383F">
      <w:pPr>
        <w:numPr>
          <w:ilvl w:val="0"/>
          <w:numId w:val="33"/>
        </w:numPr>
        <w:spacing w:before="100" w:beforeAutospacing="1" w:after="100" w:afterAutospacing="1"/>
        <w:jc w:val="both"/>
        <w:rPr>
          <w:rFonts w:cs="Calibri"/>
          <w:lang w:val="mk-MK" w:eastAsia="en-GB"/>
        </w:rPr>
      </w:pPr>
      <w:r w:rsidRPr="009D383F">
        <w:rPr>
          <w:rFonts w:cs="Calibri"/>
          <w:lang w:val="mk-MK" w:eastAsia="en-GB"/>
        </w:rPr>
        <w:t>Отворање на Центар за стручно усовршување во Југоисточниот регион, каде ќе се обучуваат компании, ученици и студенти за зелени и дигитални вештини.</w:t>
      </w:r>
    </w:p>
    <w:p w14:paraId="1B714B70" w14:textId="77777777" w:rsidR="009D383F" w:rsidRPr="009D383F" w:rsidRDefault="009D383F" w:rsidP="009D383F">
      <w:pPr>
        <w:numPr>
          <w:ilvl w:val="0"/>
          <w:numId w:val="33"/>
        </w:numPr>
        <w:spacing w:before="100" w:beforeAutospacing="1" w:after="100" w:afterAutospacing="1"/>
        <w:jc w:val="both"/>
        <w:rPr>
          <w:rFonts w:cs="Calibri"/>
          <w:lang w:val="mk-MK" w:eastAsia="en-GB"/>
        </w:rPr>
      </w:pPr>
      <w:r w:rsidRPr="009D383F">
        <w:rPr>
          <w:rFonts w:cs="Calibri"/>
          <w:lang w:val="mk-MK" w:eastAsia="en-GB"/>
        </w:rPr>
        <w:t>Воведување на паметни системи за управување со потрошувачка на енергија во јавни и приватни објекти.</w:t>
      </w:r>
    </w:p>
    <w:p w14:paraId="6467D144"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Општествен импакт:</w:t>
      </w:r>
    </w:p>
    <w:p w14:paraId="7DD405C6" w14:textId="69853774" w:rsidR="009D383F" w:rsidRPr="009D383F" w:rsidRDefault="009D383F" w:rsidP="009D383F">
      <w:pPr>
        <w:numPr>
          <w:ilvl w:val="0"/>
          <w:numId w:val="34"/>
        </w:numPr>
        <w:spacing w:before="100" w:beforeAutospacing="1" w:after="100" w:afterAutospacing="1"/>
        <w:jc w:val="both"/>
        <w:rPr>
          <w:rFonts w:cs="Calibri"/>
          <w:lang w:val="mk-MK" w:eastAsia="en-GB"/>
        </w:rPr>
      </w:pPr>
      <w:r w:rsidRPr="009D383F">
        <w:rPr>
          <w:rFonts w:cs="Calibri"/>
          <w:lang w:val="mk-MK" w:eastAsia="en-GB"/>
        </w:rPr>
        <w:t xml:space="preserve">Јакнење на капацитетите на локалните фирми и </w:t>
      </w:r>
      <w:r w:rsidR="00740FD0">
        <w:rPr>
          <w:rFonts w:cs="Calibri"/>
          <w:lang w:val="mk-MK" w:eastAsia="en-GB"/>
        </w:rPr>
        <w:t>експерти</w:t>
      </w:r>
      <w:r w:rsidRPr="009D383F">
        <w:rPr>
          <w:rFonts w:cs="Calibri"/>
          <w:lang w:val="mk-MK" w:eastAsia="en-GB"/>
        </w:rPr>
        <w:t xml:space="preserve"> за зелена и дигитална трансформација.</w:t>
      </w:r>
    </w:p>
    <w:p w14:paraId="49EE8899" w14:textId="639621B8" w:rsidR="009D383F" w:rsidRPr="009D383F" w:rsidRDefault="009D383F" w:rsidP="009D383F">
      <w:pPr>
        <w:numPr>
          <w:ilvl w:val="0"/>
          <w:numId w:val="34"/>
        </w:numPr>
        <w:spacing w:before="100" w:beforeAutospacing="1" w:after="100" w:afterAutospacing="1"/>
        <w:jc w:val="both"/>
        <w:rPr>
          <w:rFonts w:cs="Calibri"/>
          <w:lang w:val="mk-MK" w:eastAsia="en-GB"/>
        </w:rPr>
      </w:pPr>
      <w:r w:rsidRPr="009D383F">
        <w:rPr>
          <w:rFonts w:cs="Calibri"/>
          <w:lang w:val="mk-MK" w:eastAsia="en-GB"/>
        </w:rPr>
        <w:t>Поттикнување на нови работни места и зголемена енергетска ефикасност</w:t>
      </w:r>
    </w:p>
    <w:p w14:paraId="5EFB1F3C" w14:textId="55CF6E0E" w:rsidR="009D383F" w:rsidRPr="009D383F" w:rsidRDefault="009D383F" w:rsidP="009D383F">
      <w:pPr>
        <w:spacing w:before="100" w:beforeAutospacing="1" w:after="100" w:afterAutospacing="1"/>
        <w:jc w:val="both"/>
        <w:rPr>
          <w:rFonts w:cs="Calibri"/>
          <w:lang w:val="mk-MK" w:eastAsia="en-GB"/>
        </w:rPr>
      </w:pPr>
    </w:p>
    <w:p w14:paraId="62EA2FD7" w14:textId="2EA4670A" w:rsidR="009D383F" w:rsidRPr="009D383F" w:rsidRDefault="00740FD0" w:rsidP="009D383F">
      <w:pPr>
        <w:spacing w:before="100" w:beforeAutospacing="1" w:after="100" w:afterAutospacing="1"/>
        <w:jc w:val="both"/>
        <w:rPr>
          <w:rFonts w:cs="Calibri"/>
          <w:lang w:val="mk-MK" w:eastAsia="en-GB"/>
        </w:rPr>
      </w:pPr>
      <w:r>
        <w:rPr>
          <w:rFonts w:cs="Calibri"/>
          <w:b/>
          <w:bCs/>
          <w:lang w:val="mk-MK" w:eastAsia="en-GB"/>
        </w:rPr>
        <w:t>8</w:t>
      </w:r>
      <w:r w:rsidR="009D383F" w:rsidRPr="009D383F">
        <w:rPr>
          <w:rFonts w:cs="Calibri"/>
          <w:b/>
          <w:bCs/>
          <w:lang w:val="mk-MK" w:eastAsia="en-GB"/>
        </w:rPr>
        <w:t>. Поддршка за зелени МСП преку Прокредит Банка и ЕУ</w:t>
      </w:r>
    </w:p>
    <w:p w14:paraId="4D3A2C49"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Опис на програмата:</w:t>
      </w:r>
    </w:p>
    <w:p w14:paraId="4BC1DCE9" w14:textId="77777777" w:rsidR="009D383F" w:rsidRPr="009D383F" w:rsidRDefault="009D383F" w:rsidP="009D383F">
      <w:pPr>
        <w:numPr>
          <w:ilvl w:val="0"/>
          <w:numId w:val="35"/>
        </w:numPr>
        <w:spacing w:before="100" w:beforeAutospacing="1" w:after="100" w:afterAutospacing="1"/>
        <w:jc w:val="both"/>
        <w:rPr>
          <w:rFonts w:cs="Calibri"/>
          <w:lang w:val="mk-MK" w:eastAsia="en-GB"/>
        </w:rPr>
      </w:pPr>
      <w:r w:rsidRPr="009D383F">
        <w:rPr>
          <w:rFonts w:cs="Calibri"/>
          <w:lang w:val="mk-MK" w:eastAsia="en-GB"/>
        </w:rPr>
        <w:t>Прокредит Банка Скопје, со поддршка од ЕБОР и ЕУ, обезбедува кредитни линии за мали и средни претпријатија (МСП) за инвестиции во зелени технологии, енергетска ефикасност и модернизација на производството.</w:t>
      </w:r>
    </w:p>
    <w:p w14:paraId="6744C22A"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Конкретни примери:</w:t>
      </w:r>
    </w:p>
    <w:p w14:paraId="53D9B832" w14:textId="77777777" w:rsidR="009D383F" w:rsidRPr="009D383F" w:rsidRDefault="009D383F" w:rsidP="009D383F">
      <w:pPr>
        <w:numPr>
          <w:ilvl w:val="0"/>
          <w:numId w:val="36"/>
        </w:numPr>
        <w:spacing w:before="100" w:beforeAutospacing="1" w:after="100" w:afterAutospacing="1"/>
        <w:jc w:val="both"/>
        <w:rPr>
          <w:rFonts w:cs="Calibri"/>
          <w:lang w:val="mk-MK" w:eastAsia="en-GB"/>
        </w:rPr>
      </w:pPr>
      <w:r w:rsidRPr="009D383F">
        <w:rPr>
          <w:rFonts w:cs="Calibri"/>
          <w:lang w:val="mk-MK" w:eastAsia="en-GB"/>
        </w:rPr>
        <w:t>МСП од секторите за производство, агробизнис, и услуги инвестираат во инсталација на фотоволтаици, енергетски ефикасни машини, и системи за рециклирање.</w:t>
      </w:r>
    </w:p>
    <w:p w14:paraId="627C486E" w14:textId="41C52DEB" w:rsidR="009D383F" w:rsidRPr="009D383F" w:rsidRDefault="009D383F" w:rsidP="009D383F">
      <w:pPr>
        <w:numPr>
          <w:ilvl w:val="0"/>
          <w:numId w:val="36"/>
        </w:numPr>
        <w:spacing w:before="100" w:beforeAutospacing="1" w:after="100" w:afterAutospacing="1"/>
        <w:jc w:val="both"/>
        <w:rPr>
          <w:rFonts w:cs="Calibri"/>
          <w:lang w:val="mk-MK" w:eastAsia="en-GB"/>
        </w:rPr>
      </w:pPr>
      <w:r w:rsidRPr="009D383F">
        <w:rPr>
          <w:rFonts w:cs="Calibri"/>
          <w:lang w:val="mk-MK" w:eastAsia="en-GB"/>
        </w:rPr>
        <w:t>Програмата обезбедува комбинација од кредит и грант (до 15% од инвестицијата), што ја поттикнува иновацијата и конкурентноста</w:t>
      </w:r>
    </w:p>
    <w:p w14:paraId="54F37DE0" w14:textId="40978B7A" w:rsidR="009D383F" w:rsidRPr="009D383F" w:rsidRDefault="009D383F" w:rsidP="009D383F">
      <w:pPr>
        <w:spacing w:before="100" w:beforeAutospacing="1" w:after="100" w:afterAutospacing="1"/>
        <w:jc w:val="both"/>
        <w:rPr>
          <w:rFonts w:cs="Calibri"/>
          <w:lang w:val="mk-MK" w:eastAsia="en-GB"/>
        </w:rPr>
      </w:pPr>
    </w:p>
    <w:p w14:paraId="3AFEBB2B" w14:textId="6FDE26DA" w:rsidR="009D383F" w:rsidRPr="009D383F" w:rsidRDefault="003A14DA" w:rsidP="009D383F">
      <w:pPr>
        <w:spacing w:before="100" w:beforeAutospacing="1" w:after="100" w:afterAutospacing="1"/>
        <w:jc w:val="both"/>
        <w:rPr>
          <w:rFonts w:cs="Calibri"/>
          <w:lang w:val="mk-MK" w:eastAsia="en-GB"/>
        </w:rPr>
      </w:pPr>
      <w:r>
        <w:rPr>
          <w:rFonts w:cs="Calibri"/>
          <w:b/>
          <w:bCs/>
          <w:lang w:val="mk-MK" w:eastAsia="en-GB"/>
        </w:rPr>
        <w:t>9.</w:t>
      </w:r>
      <w:r w:rsidR="009D383F" w:rsidRPr="009D383F">
        <w:rPr>
          <w:rFonts w:cs="Calibri"/>
          <w:b/>
          <w:bCs/>
          <w:lang w:val="mk-MK" w:eastAsia="en-GB"/>
        </w:rPr>
        <w:t xml:space="preserve"> LIFE програма – нови можности за еко-иновативни проекти</w:t>
      </w:r>
    </w:p>
    <w:p w14:paraId="595F452C"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Опис:</w:t>
      </w:r>
    </w:p>
    <w:p w14:paraId="36EDA00C" w14:textId="77777777" w:rsidR="009D383F" w:rsidRPr="009D383F" w:rsidRDefault="009D383F" w:rsidP="009D383F">
      <w:pPr>
        <w:numPr>
          <w:ilvl w:val="0"/>
          <w:numId w:val="40"/>
        </w:numPr>
        <w:spacing w:before="100" w:beforeAutospacing="1" w:after="100" w:afterAutospacing="1"/>
        <w:jc w:val="both"/>
        <w:rPr>
          <w:rFonts w:cs="Calibri"/>
          <w:lang w:val="mk-MK" w:eastAsia="en-GB"/>
        </w:rPr>
      </w:pPr>
      <w:r w:rsidRPr="009D383F">
        <w:rPr>
          <w:rFonts w:cs="Calibri"/>
          <w:lang w:val="mk-MK" w:eastAsia="en-GB"/>
        </w:rPr>
        <w:t>Со пристапувањето на Северна Македонија кон ЕУ LIFE програмата во 2023, фирмите и организациите добиваат можност за финансирање на проекти за енергетска ефикасност, заштита на биодиверзитет, циркуларна економија и климатска акција.</w:t>
      </w:r>
    </w:p>
    <w:p w14:paraId="5521B7E3" w14:textId="77777777" w:rsidR="009D383F" w:rsidRPr="009D383F" w:rsidRDefault="009D383F" w:rsidP="009D383F">
      <w:pPr>
        <w:spacing w:before="100" w:beforeAutospacing="1" w:after="100" w:afterAutospacing="1"/>
        <w:jc w:val="both"/>
        <w:rPr>
          <w:rFonts w:cs="Calibri"/>
          <w:lang w:val="mk-MK" w:eastAsia="en-GB"/>
        </w:rPr>
      </w:pPr>
      <w:r w:rsidRPr="009D383F">
        <w:rPr>
          <w:rFonts w:cs="Calibri"/>
          <w:b/>
          <w:bCs/>
          <w:lang w:val="mk-MK" w:eastAsia="en-GB"/>
        </w:rPr>
        <w:t>Потенцијални примери:</w:t>
      </w:r>
    </w:p>
    <w:p w14:paraId="09985CE7" w14:textId="1837F070" w:rsidR="009D383F" w:rsidRPr="009D383F" w:rsidRDefault="009D383F" w:rsidP="009D383F">
      <w:pPr>
        <w:numPr>
          <w:ilvl w:val="0"/>
          <w:numId w:val="41"/>
        </w:numPr>
        <w:spacing w:before="100" w:beforeAutospacing="1" w:after="100" w:afterAutospacing="1"/>
        <w:jc w:val="both"/>
        <w:rPr>
          <w:rFonts w:cs="Calibri"/>
          <w:lang w:val="mk-MK" w:eastAsia="en-GB"/>
        </w:rPr>
      </w:pPr>
      <w:r w:rsidRPr="009D383F">
        <w:rPr>
          <w:rFonts w:cs="Calibri"/>
          <w:lang w:val="mk-MK" w:eastAsia="en-GB"/>
        </w:rPr>
        <w:t>Развој на еко-иновативни техники за управување со отпад, прочистување на води и обновливи извори на енергија во индустријата и јавниот сектор</w:t>
      </w:r>
    </w:p>
    <w:p w14:paraId="7BFCA014" w14:textId="77777777" w:rsidR="0002093D" w:rsidRPr="00F35817" w:rsidRDefault="0002093D" w:rsidP="006B704B">
      <w:pPr>
        <w:spacing w:before="100" w:beforeAutospacing="1" w:after="100" w:afterAutospacing="1"/>
        <w:jc w:val="both"/>
        <w:rPr>
          <w:rFonts w:cs="Calibri"/>
          <w:lang w:val="sr-Cyrl-RS" w:eastAsia="en-GB"/>
        </w:rPr>
      </w:pPr>
    </w:p>
    <w:p w14:paraId="29D6FEBE" w14:textId="6FDCC4CA" w:rsidR="0089533D" w:rsidRPr="00E34DDD" w:rsidRDefault="0089533D" w:rsidP="00A82D2F">
      <w:pPr>
        <w:jc w:val="both"/>
        <w:rPr>
          <w:highlight w:val="yellow"/>
          <w:lang w:val="sr-Cyrl-RS"/>
        </w:rPr>
      </w:pPr>
    </w:p>
    <w:p w14:paraId="2D96CBA7" w14:textId="5A9F18A8" w:rsidR="0089533D" w:rsidRPr="00E34DDD" w:rsidRDefault="0089533D" w:rsidP="00A82D2F">
      <w:pPr>
        <w:jc w:val="both"/>
        <w:rPr>
          <w:highlight w:val="yellow"/>
          <w:lang w:val="sr-Cyrl-RS"/>
        </w:rPr>
      </w:pPr>
    </w:p>
    <w:p w14:paraId="76CCA36C" w14:textId="1E6B4936" w:rsidR="0089533D" w:rsidRPr="00E34DDD" w:rsidRDefault="0089533D" w:rsidP="00A82D2F">
      <w:pPr>
        <w:jc w:val="both"/>
        <w:rPr>
          <w:highlight w:val="yellow"/>
          <w:lang w:val="sr-Cyrl-RS"/>
        </w:rPr>
      </w:pPr>
    </w:p>
    <w:p w14:paraId="40057BD5" w14:textId="03765FBD" w:rsidR="0089533D" w:rsidRPr="00E34DDD" w:rsidRDefault="000F7CEB" w:rsidP="00A82D2F">
      <w:pPr>
        <w:jc w:val="both"/>
        <w:rPr>
          <w:highlight w:val="yellow"/>
          <w:lang w:val="sr-Cyrl-RS"/>
        </w:rPr>
      </w:pPr>
      <w:r w:rsidRPr="00E34DDD">
        <w:rPr>
          <w:rFonts w:ascii="Times New Roman" w:hAnsi="Times New Roman" w:cs="Times New Roman"/>
          <w:noProof/>
          <w:sz w:val="24"/>
          <w:szCs w:val="24"/>
          <w:highlight w:val="yellow"/>
          <w:lang w:val="sr-Cyrl-RS" w:eastAsia="en-GB"/>
        </w:rPr>
        <mc:AlternateContent>
          <mc:Choice Requires="wps">
            <w:drawing>
              <wp:anchor distT="0" distB="0" distL="114300" distR="114300" simplePos="0" relativeHeight="251659264" behindDoc="0" locked="0" layoutInCell="1" allowOverlap="1" wp14:anchorId="56022D9F" wp14:editId="75D265BD">
                <wp:simplePos x="0" y="0"/>
                <wp:positionH relativeFrom="column">
                  <wp:posOffset>2261870</wp:posOffset>
                </wp:positionH>
                <wp:positionV relativeFrom="paragraph">
                  <wp:posOffset>452348</wp:posOffset>
                </wp:positionV>
                <wp:extent cx="2967355" cy="646430"/>
                <wp:effectExtent l="0" t="0" r="0" b="0"/>
                <wp:wrapNone/>
                <wp:docPr id="95" name="Text Box 95">
                  <a:extLst xmlns:a="http://schemas.openxmlformats.org/drawingml/2006/main">
                    <a:ext uri="{FF2B5EF4-FFF2-40B4-BE49-F238E27FC236}">
                      <a16:creationId xmlns:a16="http://schemas.microsoft.com/office/drawing/2014/main" id="{10F80AF2-B44F-4AF6-86EA-E9E0D2C81AD5}"/>
                    </a:ext>
                  </a:extLst>
                </wp:docPr>
                <wp:cNvGraphicFramePr/>
                <a:graphic xmlns:a="http://schemas.openxmlformats.org/drawingml/2006/main">
                  <a:graphicData uri="http://schemas.microsoft.com/office/word/2010/wordprocessingShape">
                    <wps:wsp>
                      <wps:cNvSpPr txBox="1"/>
                      <wps:spPr>
                        <a:xfrm>
                          <a:off x="0" y="0"/>
                          <a:ext cx="2967355" cy="646430"/>
                        </a:xfrm>
                        <a:prstGeom prst="rect">
                          <a:avLst/>
                        </a:prstGeom>
                        <a:noFill/>
                      </wps:spPr>
                      <wps:txbx>
                        <w:txbxContent>
                          <w:p w14:paraId="2C9D11EB" w14:textId="29B51491" w:rsidR="000F7CEB" w:rsidRPr="000F7CEB" w:rsidRDefault="000F7CEB" w:rsidP="000F7CEB">
                            <w:pPr>
                              <w:pStyle w:val="NormalWeb"/>
                              <w:spacing w:before="0" w:beforeAutospacing="0" w:after="0" w:afterAutospacing="0"/>
                              <w:jc w:val="center"/>
                              <w:rPr>
                                <w:color w:val="76923C" w:themeColor="accent3" w:themeShade="BF"/>
                                <w:sz w:val="40"/>
                                <w:szCs w:val="40"/>
                                <w:lang w:val="sr-Cyrl-RS"/>
                              </w:rPr>
                            </w:pPr>
                            <w:r w:rsidRPr="000F7CEB">
                              <w:rPr>
                                <w:rFonts w:ascii="Arial" w:eastAsia="Arial Unicode MS" w:hAnsi="Arial" w:cs="Arial"/>
                                <w:color w:val="76923C" w:themeColor="accent3" w:themeShade="BF"/>
                                <w:kern w:val="24"/>
                                <w:sz w:val="40"/>
                                <w:szCs w:val="40"/>
                                <w:lang w:val="sr-Cyrl-RS"/>
                              </w:rPr>
                              <w:t>ЗЕЛЕНО ФИНАНСИРАЊЕ</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6022D9F" id="_x0000_t202" coordsize="21600,21600" o:spt="202" path="m,l,21600r21600,l21600,xe">
                <v:stroke joinstyle="miter"/>
                <v:path gradientshapeok="t" o:connecttype="rect"/>
              </v:shapetype>
              <v:shape id="Text Box 95" o:spid="_x0000_s1026" type="#_x0000_t202" style="position:absolute;left:0;text-align:left;margin-left:178.1pt;margin-top:35.6pt;width:233.6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" filled="f" stroked="f">
                <v:textbox>
                  <w:txbxContent>
                    <w:p w14:paraId="2C9D11EB" w14:textId="29B51491" w:rsidR="000F7CEB" w:rsidRPr="000F7CEB" w:rsidRDefault="000F7CEB" w:rsidP="000F7CEB">
                      <w:pPr>
                        <w:pStyle w:val="NormalWeb"/>
                        <w:spacing w:before="0" w:beforeAutospacing="0" w:after="0" w:afterAutospacing="0"/>
                        <w:jc w:val="center"/>
                        <w:rPr>
                          <w:color w:val="76923C" w:themeColor="accent3" w:themeShade="BF"/>
                          <w:sz w:val="40"/>
                          <w:szCs w:val="40"/>
                          <w:lang w:val="sr-Cyrl-RS"/>
                        </w:rPr>
                      </w:pPr>
                      <w:r w:rsidRPr="000F7CEB">
                        <w:rPr>
                          <w:rFonts w:ascii="Arial" w:eastAsia="Arial Unicode MS" w:hAnsi="Arial" w:cs="Arial"/>
                          <w:color w:val="76923C" w:themeColor="accent3" w:themeShade="BF"/>
                          <w:kern w:val="24"/>
                          <w:sz w:val="40"/>
                          <w:szCs w:val="40"/>
                          <w:lang w:val="sr-Cyrl-RS"/>
                        </w:rPr>
                        <w:t>ЗЕЛЕНО ФИНАНСИРАЊЕ</w:t>
                      </w:r>
                    </w:p>
                  </w:txbxContent>
                </v:textbox>
              </v:shape>
            </w:pict>
          </mc:Fallback>
        </mc:AlternateContent>
      </w:r>
      <w:r w:rsidRPr="00E34DDD">
        <w:rPr>
          <w:noProof/>
          <w:highlight w:val="yellow"/>
          <w:lang w:val="sr-Cyrl-RS"/>
        </w:rPr>
        <w:drawing>
          <wp:inline distT="0" distB="0" distL="0" distR="0" wp14:anchorId="7C0D6409" wp14:editId="2510E327">
            <wp:extent cx="5731510" cy="1945005"/>
            <wp:effectExtent l="0" t="0" r="254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945005"/>
                    </a:xfrm>
                    <a:prstGeom prst="rect">
                      <a:avLst/>
                    </a:prstGeom>
                  </pic:spPr>
                </pic:pic>
              </a:graphicData>
            </a:graphic>
          </wp:inline>
        </w:drawing>
      </w:r>
    </w:p>
    <w:p w14:paraId="36542744" w14:textId="55731EFD" w:rsidR="0089533D" w:rsidRPr="00E34DDD" w:rsidRDefault="0089533D" w:rsidP="00A82D2F">
      <w:pPr>
        <w:jc w:val="both"/>
        <w:rPr>
          <w:highlight w:val="yellow"/>
          <w:lang w:val="sr-Cyrl-RS"/>
        </w:rPr>
      </w:pPr>
    </w:p>
    <w:p w14:paraId="696E722E" w14:textId="5C5252BC" w:rsidR="0089533D" w:rsidRPr="00B23CFF" w:rsidRDefault="0089533D" w:rsidP="0089533D">
      <w:pPr>
        <w:spacing w:before="100" w:beforeAutospacing="1" w:after="100" w:afterAutospacing="1"/>
        <w:jc w:val="both"/>
        <w:rPr>
          <w:rFonts w:cs="Calibri"/>
          <w:b/>
          <w:sz w:val="24"/>
          <w:szCs w:val="24"/>
          <w:lang w:val="sr-Cyrl-RS" w:eastAsia="en-GB"/>
        </w:rPr>
      </w:pPr>
      <w:r w:rsidRPr="00B23CFF">
        <w:rPr>
          <w:rFonts w:cs="Calibri"/>
          <w:b/>
          <w:sz w:val="24"/>
          <w:szCs w:val="24"/>
          <w:lang w:val="sr-Cyrl-RS" w:eastAsia="en-GB"/>
        </w:rPr>
        <w:t>Зелена трансформација во пракса: Како купувањето нова опрема и инсталирањето соларни панели можат да го подобрат вашиот бизнис - практични примери</w:t>
      </w:r>
    </w:p>
    <w:p w14:paraId="0219CDDE" w14:textId="43BE1520" w:rsidR="0089533D" w:rsidRPr="00B23CFF" w:rsidRDefault="0089533D" w:rsidP="0089533D">
      <w:pPr>
        <w:spacing w:before="100" w:beforeAutospacing="1" w:after="100" w:afterAutospacing="1"/>
        <w:jc w:val="both"/>
        <w:rPr>
          <w:rFonts w:cs="Calibri"/>
          <w:b/>
          <w:lang w:val="sr-Cyrl-RS" w:eastAsia="en-GB"/>
        </w:rPr>
      </w:pPr>
      <w:r w:rsidRPr="00B23CFF">
        <w:rPr>
          <w:rFonts w:cs="Calibri"/>
          <w:lang w:val="sr-Cyrl-RS" w:eastAsia="en-GB"/>
        </w:rPr>
        <w:t xml:space="preserve">Во современото деловно опкружување, сè повеќе мали и средни претпријатија (МСП) ја препознаваат важноста на транзицијата кон одржливи и еколошки бизнис модели. Зелената трансформација не е само тренд, туку стратешка одлука што може да донесе бројни придобивки за вашиот бизнис - од намалување на трошоците, до подобрување на конкурентноста и пристап до нови извори на финансирање. Со имплементација на иновации како што се купување енергетски ефикасна опрема и инсталирање соларни панели, малите и средни претпријатија можат значително да ги подобрат своите еколошки перформанси, а воедно да заштедат ресурси кои се клучни за долгорочна одржливост. Зелените инвестиции не само што придонесуваат за заштита на животната средина, туку и ја зголемуваат конкурентноста на вашата компанија на домашните и меѓународните пазари. Со инвестирање во енергетски ефикасни технологии, како што се обновливи извори на енергија и опрема што ја намалува потрошувачката на ресурси, можете значително да ги подобрите и вашите финансиски резултати. Ваквите инвестиции не само што придонесуваат за намалување на вашите оперативни трошоци, туку и го подобруваат имиџот на компанијата како одговорна и модерна компанија која ја зема предвид иднината на својата заедница и планетата </w:t>
      </w:r>
      <w:r w:rsidRPr="00B23CFF">
        <w:rPr>
          <w:rFonts w:cs="Calibri"/>
          <w:b/>
          <w:lang w:val="sr-Cyrl-RS" w:eastAsia="en-GB"/>
        </w:rPr>
        <w:t>.</w:t>
      </w:r>
    </w:p>
    <w:p w14:paraId="730A4BFA" w14:textId="3D6607E2" w:rsidR="0089533D" w:rsidRPr="00B23CFF" w:rsidRDefault="0089533D" w:rsidP="0089533D">
      <w:pPr>
        <w:spacing w:before="100" w:beforeAutospacing="1" w:after="100" w:afterAutospacing="1"/>
        <w:jc w:val="both"/>
        <w:rPr>
          <w:rFonts w:cs="Calibri"/>
          <w:lang w:val="sr-Cyrl-RS" w:eastAsia="en-GB"/>
        </w:rPr>
      </w:pPr>
      <w:r w:rsidRPr="00B23CFF">
        <w:rPr>
          <w:rFonts w:cs="Calibri"/>
          <w:lang w:val="sr-Cyrl-RS" w:eastAsia="en-GB"/>
        </w:rPr>
        <w:t xml:space="preserve">Многу примери на добра пракса од други бизниси и индустрии покажуваат дека зелената трансформација може да биде и исклучително профитабилна. Малите и средни претпријатија во </w:t>
      </w:r>
      <w:r w:rsidR="00337078" w:rsidRPr="00B23CFF">
        <w:rPr>
          <w:rFonts w:cs="Calibri"/>
          <w:lang w:val="sr-Cyrl-RS" w:eastAsia="en-GB"/>
        </w:rPr>
        <w:t>Северна Македонија</w:t>
      </w:r>
      <w:r w:rsidRPr="00B23CFF">
        <w:rPr>
          <w:rFonts w:cs="Calibri"/>
          <w:lang w:val="sr-Cyrl-RS" w:eastAsia="en-GB"/>
        </w:rPr>
        <w:t xml:space="preserve"> и други земји веќе користеа зелено финансирање за купување енергетски ефикасна опрема, инсталирање соларни панели и имплементација на други одржливи технологии што им овозможија да остварат значителни заштеди на долг рок.</w:t>
      </w:r>
    </w:p>
    <w:p w14:paraId="4490A988" w14:textId="6D11B56C" w:rsidR="00CB4718" w:rsidRPr="00B23CFF" w:rsidRDefault="0089533D" w:rsidP="0089533D">
      <w:pPr>
        <w:spacing w:before="100" w:beforeAutospacing="1" w:after="100" w:afterAutospacing="1"/>
        <w:jc w:val="both"/>
        <w:rPr>
          <w:rFonts w:cs="Calibri"/>
          <w:lang w:val="sr-Cyrl-RS" w:eastAsia="en-GB"/>
        </w:rPr>
      </w:pPr>
      <w:r w:rsidRPr="00B23CFF">
        <w:rPr>
          <w:rFonts w:cs="Calibri"/>
          <w:lang w:val="sr-Cyrl-RS" w:eastAsia="en-GB"/>
        </w:rPr>
        <w:t>Во оваа статија, ќе презентираме неколку успешни примери за тоа каде малите и средни претпријатија го искористиле достапното зелено финансирање, како и како и вие можете да ја користите оваа поддршка за развој на вашиот бизнис. Овие примери ќе ви ги покажат не само можностите што ви се достапни, туку и конкретни чекори што можете да ги преземете за да обезбедите финансиска поддршка за зелената трансформација на вашата компанија. Ве покануваме да бидете инспирирани од овие примери и да ги разгледате чекорите што вашиот бизнис може да ги преземе кон зелена иднина.</w:t>
      </w:r>
    </w:p>
    <w:p w14:paraId="4137F164"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1. Инсталирање соларни панели во агробизнис – Пумпа за наводнување на соларна енергија (Кочани)</w:t>
      </w:r>
    </w:p>
    <w:p w14:paraId="1A345289" w14:textId="36B47C25"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Пример:</w:t>
      </w:r>
      <w:r w:rsidRPr="002A44C9">
        <w:rPr>
          <w:rFonts w:cs="Calibri"/>
          <w:lang w:val="mk-MK" w:eastAsia="en-GB"/>
        </w:rPr>
        <w:t> Агробизнис од Кочани инвестираше во соларен систем од 1,5 kW за напојување на пумпа за наводнување. Со оваа инвестиција, компанијата целосно ја елиминираше зависноста од струја од мрежа за наводнување, што резултираше со значително намалување на оперативните трошоци и зголемена профитабилност. Системот овозможува автономно работење и во рурални предели каде што нема стабилна електрична мрежа</w:t>
      </w:r>
    </w:p>
    <w:p w14:paraId="644F1700"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Бенефити:</w:t>
      </w:r>
    </w:p>
    <w:p w14:paraId="493254E8" w14:textId="77777777" w:rsidR="002A44C9" w:rsidRPr="002A44C9" w:rsidRDefault="002A44C9" w:rsidP="002A44C9">
      <w:pPr>
        <w:numPr>
          <w:ilvl w:val="0"/>
          <w:numId w:val="42"/>
        </w:numPr>
        <w:spacing w:before="100" w:beforeAutospacing="1" w:after="100" w:afterAutospacing="1"/>
        <w:jc w:val="both"/>
        <w:rPr>
          <w:rFonts w:cs="Calibri"/>
          <w:lang w:val="mk-MK" w:eastAsia="en-GB"/>
        </w:rPr>
      </w:pPr>
      <w:r w:rsidRPr="002A44C9">
        <w:rPr>
          <w:rFonts w:cs="Calibri"/>
          <w:lang w:val="mk-MK" w:eastAsia="en-GB"/>
        </w:rPr>
        <w:t>Намалени трошоци за електрична енергија</w:t>
      </w:r>
    </w:p>
    <w:p w14:paraId="2AF0366D" w14:textId="77777777" w:rsidR="002A44C9" w:rsidRPr="002A44C9" w:rsidRDefault="002A44C9" w:rsidP="002A44C9">
      <w:pPr>
        <w:numPr>
          <w:ilvl w:val="0"/>
          <w:numId w:val="42"/>
        </w:numPr>
        <w:spacing w:before="100" w:beforeAutospacing="1" w:after="100" w:afterAutospacing="1"/>
        <w:jc w:val="both"/>
        <w:rPr>
          <w:rFonts w:cs="Calibri"/>
          <w:lang w:val="mk-MK" w:eastAsia="en-GB"/>
        </w:rPr>
      </w:pPr>
      <w:r w:rsidRPr="002A44C9">
        <w:rPr>
          <w:rFonts w:cs="Calibri"/>
          <w:lang w:val="mk-MK" w:eastAsia="en-GB"/>
        </w:rPr>
        <w:t>Зголемена сигурност во снабдувањето со вода</w:t>
      </w:r>
    </w:p>
    <w:p w14:paraId="5C64CDE3" w14:textId="77777777" w:rsidR="002A44C9" w:rsidRPr="002A44C9" w:rsidRDefault="002A44C9" w:rsidP="002A44C9">
      <w:pPr>
        <w:numPr>
          <w:ilvl w:val="0"/>
          <w:numId w:val="42"/>
        </w:numPr>
        <w:spacing w:before="100" w:beforeAutospacing="1" w:after="100" w:afterAutospacing="1"/>
        <w:jc w:val="both"/>
        <w:rPr>
          <w:rFonts w:cs="Calibri"/>
          <w:lang w:val="mk-MK" w:eastAsia="en-GB"/>
        </w:rPr>
      </w:pPr>
      <w:r w:rsidRPr="002A44C9">
        <w:rPr>
          <w:rFonts w:cs="Calibri"/>
          <w:lang w:val="mk-MK" w:eastAsia="en-GB"/>
        </w:rPr>
        <w:t>Брзо враќање на инвестицијата (5–7 години)</w:t>
      </w:r>
    </w:p>
    <w:p w14:paraId="223B5296" w14:textId="77777777" w:rsidR="002A44C9" w:rsidRPr="00B23CFF" w:rsidRDefault="002A44C9" w:rsidP="002A44C9">
      <w:pPr>
        <w:numPr>
          <w:ilvl w:val="0"/>
          <w:numId w:val="42"/>
        </w:numPr>
        <w:spacing w:before="100" w:beforeAutospacing="1" w:after="100" w:afterAutospacing="1"/>
        <w:jc w:val="both"/>
        <w:rPr>
          <w:rFonts w:cs="Calibri"/>
          <w:lang w:val="mk-MK" w:eastAsia="en-GB"/>
        </w:rPr>
      </w:pPr>
      <w:r w:rsidRPr="002A44C9">
        <w:rPr>
          <w:rFonts w:cs="Calibri"/>
          <w:lang w:val="mk-MK" w:eastAsia="en-GB"/>
        </w:rPr>
        <w:t>Долгорочна одржливост</w:t>
      </w:r>
    </w:p>
    <w:p w14:paraId="6AFC5CB5" w14:textId="2C1BC629" w:rsidR="00B23CFF" w:rsidRPr="002A44C9" w:rsidRDefault="00EA046F" w:rsidP="00B23CFF">
      <w:pPr>
        <w:spacing w:before="100" w:beforeAutospacing="1" w:after="100" w:afterAutospacing="1"/>
        <w:jc w:val="both"/>
        <w:rPr>
          <w:rFonts w:cs="Calibri"/>
          <w:lang w:val="mk-MK" w:eastAsia="en-GB"/>
        </w:rPr>
      </w:pPr>
      <w:r>
        <w:rPr>
          <w:rFonts w:cs="Calibri"/>
          <w:lang w:val="mk-MK" w:eastAsia="en-GB"/>
        </w:rPr>
        <w:t xml:space="preserve">Линк: </w:t>
      </w:r>
      <w:r w:rsidR="00B23CFF" w:rsidRPr="00B23CFF">
        <w:rPr>
          <w:rFonts w:cs="Calibri"/>
          <w:lang w:val="mk-MK" w:eastAsia="en-GB"/>
        </w:rPr>
        <w:t>https://mfc-solar.mk/</w:t>
      </w:r>
      <w:r>
        <w:rPr>
          <w:rFonts w:cs="Calibri"/>
          <w:lang w:val="mk-MK" w:eastAsia="en-GB"/>
        </w:rPr>
        <w:t xml:space="preserve"> </w:t>
      </w:r>
    </w:p>
    <w:p w14:paraId="0BBEA002"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2. Модернизација на производствена линија со енергетски ефикасна опрема (металопреработувачка фирма, Скопје)</w:t>
      </w:r>
    </w:p>
    <w:p w14:paraId="2B0D235A" w14:textId="245F76EC"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Пример:</w:t>
      </w:r>
      <w:r w:rsidRPr="002A44C9">
        <w:rPr>
          <w:rFonts w:cs="Calibri"/>
          <w:lang w:val="mk-MK" w:eastAsia="en-GB"/>
        </w:rPr>
        <w:t> Металопреработувачка МСП од Скопје набави нова CNC машина со ниска потрошувачка на енергија, финансирана преку зелена кредитна линија. Новата опрема ја намали потрошувачката на електрична енергија за 25%, го зголеми квалитетот и капацитетот на производството, а истовремено ги намали емисиите на CO2.</w:t>
      </w:r>
    </w:p>
    <w:p w14:paraId="3211F722"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Бенефити:</w:t>
      </w:r>
    </w:p>
    <w:p w14:paraId="7642991B" w14:textId="77777777" w:rsidR="002A44C9" w:rsidRPr="002A44C9" w:rsidRDefault="002A44C9" w:rsidP="002A44C9">
      <w:pPr>
        <w:numPr>
          <w:ilvl w:val="0"/>
          <w:numId w:val="43"/>
        </w:numPr>
        <w:spacing w:before="100" w:beforeAutospacing="1" w:after="100" w:afterAutospacing="1"/>
        <w:jc w:val="both"/>
        <w:rPr>
          <w:rFonts w:cs="Calibri"/>
          <w:lang w:val="mk-MK" w:eastAsia="en-GB"/>
        </w:rPr>
      </w:pPr>
      <w:r w:rsidRPr="002A44C9">
        <w:rPr>
          <w:rFonts w:cs="Calibri"/>
          <w:lang w:val="mk-MK" w:eastAsia="en-GB"/>
        </w:rPr>
        <w:t>Помали сметки за струја</w:t>
      </w:r>
    </w:p>
    <w:p w14:paraId="73F8A521" w14:textId="77777777" w:rsidR="002A44C9" w:rsidRPr="002A44C9" w:rsidRDefault="002A44C9" w:rsidP="002A44C9">
      <w:pPr>
        <w:numPr>
          <w:ilvl w:val="0"/>
          <w:numId w:val="43"/>
        </w:numPr>
        <w:spacing w:before="100" w:beforeAutospacing="1" w:after="100" w:afterAutospacing="1"/>
        <w:jc w:val="both"/>
        <w:rPr>
          <w:rFonts w:cs="Calibri"/>
          <w:lang w:val="mk-MK" w:eastAsia="en-GB"/>
        </w:rPr>
      </w:pPr>
      <w:r w:rsidRPr="002A44C9">
        <w:rPr>
          <w:rFonts w:cs="Calibri"/>
          <w:lang w:val="mk-MK" w:eastAsia="en-GB"/>
        </w:rPr>
        <w:t>Поголема продуктивност и конкурентност</w:t>
      </w:r>
    </w:p>
    <w:p w14:paraId="24E3DACD" w14:textId="77777777" w:rsidR="002A44C9" w:rsidRDefault="002A44C9" w:rsidP="002A44C9">
      <w:pPr>
        <w:numPr>
          <w:ilvl w:val="0"/>
          <w:numId w:val="43"/>
        </w:numPr>
        <w:spacing w:before="100" w:beforeAutospacing="1" w:after="100" w:afterAutospacing="1"/>
        <w:jc w:val="both"/>
        <w:rPr>
          <w:rFonts w:cs="Calibri"/>
          <w:lang w:val="mk-MK" w:eastAsia="en-GB"/>
        </w:rPr>
      </w:pPr>
      <w:r w:rsidRPr="002A44C9">
        <w:rPr>
          <w:rFonts w:cs="Calibri"/>
          <w:lang w:val="mk-MK" w:eastAsia="en-GB"/>
        </w:rPr>
        <w:t>Подобрување на еколошкиот имиџ на компанијата</w:t>
      </w:r>
    </w:p>
    <w:p w14:paraId="1B8CAA57" w14:textId="33A60B31" w:rsidR="00EA046F" w:rsidRPr="002A44C9" w:rsidRDefault="00EA046F" w:rsidP="00EA046F">
      <w:pPr>
        <w:spacing w:before="100" w:beforeAutospacing="1" w:after="100" w:afterAutospacing="1"/>
        <w:jc w:val="both"/>
        <w:rPr>
          <w:rFonts w:cs="Calibri"/>
          <w:lang w:val="mk-MK" w:eastAsia="en-GB"/>
        </w:rPr>
      </w:pPr>
      <w:r>
        <w:rPr>
          <w:rFonts w:cs="Calibri"/>
          <w:lang w:val="mk-MK" w:eastAsia="en-GB"/>
        </w:rPr>
        <w:t>Линк:</w:t>
      </w:r>
      <w:r w:rsidR="00EA5D69" w:rsidRPr="00EA5D69">
        <w:t xml:space="preserve"> </w:t>
      </w:r>
      <w:r w:rsidR="00EA5D69" w:rsidRPr="00EA5D69">
        <w:rPr>
          <w:rFonts w:cs="Calibri"/>
          <w:lang w:val="mk-MK" w:eastAsia="en-GB"/>
        </w:rPr>
        <w:t>https://www.mbdp.com.mk/mk/News/Index/251?cookieS=1</w:t>
      </w:r>
    </w:p>
    <w:p w14:paraId="4340A777"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3. Соларни панели на покрив за сопствени потреби (пекарница, Битола)</w:t>
      </w:r>
    </w:p>
    <w:p w14:paraId="226546BD" w14:textId="06B17EE0"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Пример:</w:t>
      </w:r>
      <w:r w:rsidRPr="002A44C9">
        <w:rPr>
          <w:rFonts w:cs="Calibri"/>
          <w:lang w:val="mk-MK" w:eastAsia="en-GB"/>
        </w:rPr>
        <w:t> Пекарница од Битола инсталираше соларен систем од 20 kW на покривот на производствениот објект. Со нето мерење, вишокот електрична енергија се враќа во мрежата, а компанијата добива кредити за тоа. Сметките за струја се намалени за над 60%, а инвестицијата се враќа за околу 6 години</w:t>
      </w:r>
      <w:r w:rsidR="001679CB" w:rsidRPr="00B23CFF">
        <w:rPr>
          <w:rFonts w:cs="Calibri"/>
          <w:lang w:val="mk-MK" w:eastAsia="en-GB"/>
        </w:rPr>
        <w:t>.</w:t>
      </w:r>
    </w:p>
    <w:p w14:paraId="22579794"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Бенефити:</w:t>
      </w:r>
    </w:p>
    <w:p w14:paraId="155ED738" w14:textId="77777777" w:rsidR="002A44C9" w:rsidRPr="002A44C9" w:rsidRDefault="002A44C9" w:rsidP="002A44C9">
      <w:pPr>
        <w:numPr>
          <w:ilvl w:val="0"/>
          <w:numId w:val="44"/>
        </w:numPr>
        <w:spacing w:before="100" w:beforeAutospacing="1" w:after="100" w:afterAutospacing="1"/>
        <w:jc w:val="both"/>
        <w:rPr>
          <w:rFonts w:cs="Calibri"/>
          <w:lang w:val="mk-MK" w:eastAsia="en-GB"/>
        </w:rPr>
      </w:pPr>
      <w:r w:rsidRPr="002A44C9">
        <w:rPr>
          <w:rFonts w:cs="Calibri"/>
          <w:lang w:val="mk-MK" w:eastAsia="en-GB"/>
        </w:rPr>
        <w:t>Долгорочна заштеда на трошоци</w:t>
      </w:r>
    </w:p>
    <w:p w14:paraId="727339A3" w14:textId="77777777" w:rsidR="002A44C9" w:rsidRPr="002A44C9" w:rsidRDefault="002A44C9" w:rsidP="002A44C9">
      <w:pPr>
        <w:numPr>
          <w:ilvl w:val="0"/>
          <w:numId w:val="44"/>
        </w:numPr>
        <w:spacing w:before="100" w:beforeAutospacing="1" w:after="100" w:afterAutospacing="1"/>
        <w:jc w:val="both"/>
        <w:rPr>
          <w:rFonts w:cs="Calibri"/>
          <w:lang w:val="mk-MK" w:eastAsia="en-GB"/>
        </w:rPr>
      </w:pPr>
      <w:r w:rsidRPr="002A44C9">
        <w:rPr>
          <w:rFonts w:cs="Calibri"/>
          <w:lang w:val="mk-MK" w:eastAsia="en-GB"/>
        </w:rPr>
        <w:t>Можност за дополнителен приход преку продажба на вишок струја</w:t>
      </w:r>
    </w:p>
    <w:p w14:paraId="49770831" w14:textId="77777777" w:rsidR="002A44C9" w:rsidRDefault="002A44C9" w:rsidP="002A44C9">
      <w:pPr>
        <w:numPr>
          <w:ilvl w:val="0"/>
          <w:numId w:val="44"/>
        </w:numPr>
        <w:spacing w:before="100" w:beforeAutospacing="1" w:after="100" w:afterAutospacing="1"/>
        <w:jc w:val="both"/>
        <w:rPr>
          <w:rFonts w:cs="Calibri"/>
          <w:lang w:val="mk-MK" w:eastAsia="en-GB"/>
        </w:rPr>
      </w:pPr>
      <w:r w:rsidRPr="002A44C9">
        <w:rPr>
          <w:rFonts w:cs="Calibri"/>
          <w:lang w:val="mk-MK" w:eastAsia="en-GB"/>
        </w:rPr>
        <w:t>Позитивен пример за локалната заедница</w:t>
      </w:r>
    </w:p>
    <w:p w14:paraId="1B9FC405" w14:textId="45A7D6EE" w:rsidR="00DE105E" w:rsidRPr="002A44C9" w:rsidRDefault="00DE105E" w:rsidP="00DE105E">
      <w:pPr>
        <w:spacing w:before="100" w:beforeAutospacing="1" w:after="100" w:afterAutospacing="1"/>
        <w:jc w:val="both"/>
        <w:rPr>
          <w:rFonts w:cs="Calibri"/>
          <w:lang w:val="en-US" w:eastAsia="en-GB"/>
        </w:rPr>
      </w:pPr>
      <w:r>
        <w:rPr>
          <w:rFonts w:cs="Calibri"/>
          <w:lang w:val="mk-MK" w:eastAsia="en-GB"/>
        </w:rPr>
        <w:t xml:space="preserve">Линк: </w:t>
      </w:r>
      <w:r w:rsidR="008136CE" w:rsidRPr="008136CE">
        <w:rPr>
          <w:rFonts w:cs="Calibri"/>
          <w:lang w:val="mk-MK" w:eastAsia="en-GB"/>
        </w:rPr>
        <w:t>https://solar.org.mk/wp-content/</w:t>
      </w:r>
      <w:r w:rsidR="008136CE">
        <w:rPr>
          <w:rFonts w:cs="Calibri"/>
          <w:lang w:val="mk-MK" w:eastAsia="en-GB"/>
        </w:rPr>
        <w:t>2023/09/И</w:t>
      </w:r>
      <w:r w:rsidR="00A15BD5">
        <w:rPr>
          <w:rFonts w:cs="Calibri"/>
          <w:lang w:val="mk-MK" w:eastAsia="en-GB"/>
        </w:rPr>
        <w:t>с</w:t>
      </w:r>
      <w:r w:rsidR="008136CE">
        <w:rPr>
          <w:rFonts w:cs="Calibri"/>
          <w:lang w:val="mk-MK" w:eastAsia="en-GB"/>
        </w:rPr>
        <w:t>куства-од-веќе-инсталирани-соларни</w:t>
      </w:r>
      <w:r w:rsidR="00A15BD5">
        <w:rPr>
          <w:rFonts w:cs="Calibri"/>
          <w:lang w:val="mk-MK" w:eastAsia="en-GB"/>
        </w:rPr>
        <w:t>-</w:t>
      </w:r>
      <w:r w:rsidR="008136CE">
        <w:rPr>
          <w:rFonts w:cs="Calibri"/>
          <w:lang w:val="mk-MK" w:eastAsia="en-GB"/>
        </w:rPr>
        <w:t>системи-заштеди-и-инвестиции-1.</w:t>
      </w:r>
      <w:r w:rsidR="008136CE">
        <w:rPr>
          <w:rFonts w:cs="Calibri"/>
          <w:lang w:val="en-US" w:eastAsia="en-GB"/>
        </w:rPr>
        <w:t>pdf</w:t>
      </w:r>
    </w:p>
    <w:p w14:paraId="795AAC05"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4. Мобилен соларен систем за сточарски бизнис (Пелагонија)</w:t>
      </w:r>
    </w:p>
    <w:p w14:paraId="2686429D" w14:textId="615C3BF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Пример:</w:t>
      </w:r>
      <w:r w:rsidRPr="002A44C9">
        <w:rPr>
          <w:rFonts w:cs="Calibri"/>
          <w:lang w:val="mk-MK" w:eastAsia="en-GB"/>
        </w:rPr>
        <w:t> Сточар од Пелагонија користи мобилен соларен систем за напојување на опрема во бачилото (машини за молзење, осветлување, полначи). Системот е лесно пренослив и овозможува целосна енергетска независност на терен.</w:t>
      </w:r>
    </w:p>
    <w:p w14:paraId="07B65230"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Бенефити:</w:t>
      </w:r>
    </w:p>
    <w:p w14:paraId="787BA40C" w14:textId="77777777" w:rsidR="002A44C9" w:rsidRPr="002A44C9" w:rsidRDefault="002A44C9" w:rsidP="002A44C9">
      <w:pPr>
        <w:numPr>
          <w:ilvl w:val="0"/>
          <w:numId w:val="45"/>
        </w:numPr>
        <w:spacing w:before="100" w:beforeAutospacing="1" w:after="100" w:afterAutospacing="1"/>
        <w:jc w:val="both"/>
        <w:rPr>
          <w:rFonts w:cs="Calibri"/>
          <w:lang w:val="mk-MK" w:eastAsia="en-GB"/>
        </w:rPr>
      </w:pPr>
      <w:r w:rsidRPr="002A44C9">
        <w:rPr>
          <w:rFonts w:cs="Calibri"/>
          <w:lang w:val="mk-MK" w:eastAsia="en-GB"/>
        </w:rPr>
        <w:t>Намалени трошоци за гориво и одржување</w:t>
      </w:r>
    </w:p>
    <w:p w14:paraId="3A514B6F" w14:textId="77777777" w:rsidR="002A44C9" w:rsidRPr="002A44C9" w:rsidRDefault="002A44C9" w:rsidP="002A44C9">
      <w:pPr>
        <w:numPr>
          <w:ilvl w:val="0"/>
          <w:numId w:val="45"/>
        </w:numPr>
        <w:spacing w:before="100" w:beforeAutospacing="1" w:after="100" w:afterAutospacing="1"/>
        <w:jc w:val="both"/>
        <w:rPr>
          <w:rFonts w:cs="Calibri"/>
          <w:lang w:val="mk-MK" w:eastAsia="en-GB"/>
        </w:rPr>
      </w:pPr>
      <w:r w:rsidRPr="002A44C9">
        <w:rPr>
          <w:rFonts w:cs="Calibri"/>
          <w:lang w:val="mk-MK" w:eastAsia="en-GB"/>
        </w:rPr>
        <w:t>Подобрени услови за работа</w:t>
      </w:r>
    </w:p>
    <w:p w14:paraId="5BC7AA87" w14:textId="77777777" w:rsidR="002A44C9" w:rsidRDefault="002A44C9" w:rsidP="002A44C9">
      <w:pPr>
        <w:numPr>
          <w:ilvl w:val="0"/>
          <w:numId w:val="45"/>
        </w:numPr>
        <w:spacing w:before="100" w:beforeAutospacing="1" w:after="100" w:afterAutospacing="1"/>
        <w:jc w:val="both"/>
        <w:rPr>
          <w:rFonts w:cs="Calibri"/>
          <w:lang w:val="mk-MK" w:eastAsia="en-GB"/>
        </w:rPr>
      </w:pPr>
      <w:r w:rsidRPr="002A44C9">
        <w:rPr>
          <w:rFonts w:cs="Calibri"/>
          <w:lang w:val="mk-MK" w:eastAsia="en-GB"/>
        </w:rPr>
        <w:t>Зголемена продуктивност и квалитет на живот за работниците</w:t>
      </w:r>
    </w:p>
    <w:p w14:paraId="345880D4" w14:textId="4F575476" w:rsidR="00DD5BC3" w:rsidRPr="002A44C9" w:rsidRDefault="00DD5BC3" w:rsidP="00DD5BC3">
      <w:pPr>
        <w:spacing w:before="100" w:beforeAutospacing="1" w:after="100" w:afterAutospacing="1"/>
        <w:jc w:val="both"/>
        <w:rPr>
          <w:rFonts w:cs="Calibri"/>
          <w:lang w:val="mk-MK" w:eastAsia="en-GB"/>
        </w:rPr>
      </w:pPr>
      <w:r>
        <w:rPr>
          <w:rFonts w:cs="Calibri"/>
          <w:lang w:val="mk-MK" w:eastAsia="en-GB"/>
        </w:rPr>
        <w:t xml:space="preserve">Линк: </w:t>
      </w:r>
      <w:r w:rsidRPr="00DD5BC3">
        <w:rPr>
          <w:rFonts w:cs="Calibri"/>
          <w:lang w:val="mk-MK" w:eastAsia="en-GB"/>
        </w:rPr>
        <w:t>https://mfc-solar.mk/montazi/montaz%D0%B01.html</w:t>
      </w:r>
      <w:r>
        <w:rPr>
          <w:rFonts w:cs="Calibri"/>
          <w:lang w:val="mk-MK" w:eastAsia="en-GB"/>
        </w:rPr>
        <w:t xml:space="preserve"> </w:t>
      </w:r>
    </w:p>
    <w:p w14:paraId="301AAF20"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5. Инвестиција во енергетски ефикасни машини и LED осветлување (текстилна фирма, Штип)</w:t>
      </w:r>
    </w:p>
    <w:p w14:paraId="0ABD2669" w14:textId="222888DC"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Пример:</w:t>
      </w:r>
      <w:r w:rsidRPr="002A44C9">
        <w:rPr>
          <w:rFonts w:cs="Calibri"/>
          <w:lang w:val="mk-MK" w:eastAsia="en-GB"/>
        </w:rPr>
        <w:t> Текстилна фирма од Штип замени старата опрема со нови машини со А+++ енергетска класа и LED осветлување во производниот погон. Ова доведе до намалување на потрошувачката на електрична енергија за 30% и подобрување на работната средина</w:t>
      </w:r>
      <w:r w:rsidR="002A1CBF">
        <w:rPr>
          <w:rFonts w:cs="Calibri"/>
          <w:lang w:val="mk-MK" w:eastAsia="en-GB"/>
        </w:rPr>
        <w:t>.</w:t>
      </w:r>
    </w:p>
    <w:p w14:paraId="15773E13" w14:textId="77777777" w:rsidR="002A44C9" w:rsidRPr="002A44C9" w:rsidRDefault="002A44C9" w:rsidP="002A44C9">
      <w:pPr>
        <w:spacing w:before="100" w:beforeAutospacing="1" w:after="100" w:afterAutospacing="1"/>
        <w:jc w:val="both"/>
        <w:rPr>
          <w:rFonts w:cs="Calibri"/>
          <w:lang w:val="mk-MK" w:eastAsia="en-GB"/>
        </w:rPr>
      </w:pPr>
      <w:r w:rsidRPr="002A44C9">
        <w:rPr>
          <w:rFonts w:cs="Calibri"/>
          <w:b/>
          <w:bCs/>
          <w:lang w:val="mk-MK" w:eastAsia="en-GB"/>
        </w:rPr>
        <w:t>Бенефити:</w:t>
      </w:r>
    </w:p>
    <w:p w14:paraId="1A950DA9" w14:textId="77777777" w:rsidR="002A44C9" w:rsidRPr="002A44C9" w:rsidRDefault="002A44C9" w:rsidP="002A44C9">
      <w:pPr>
        <w:numPr>
          <w:ilvl w:val="0"/>
          <w:numId w:val="46"/>
        </w:numPr>
        <w:spacing w:before="100" w:beforeAutospacing="1" w:after="100" w:afterAutospacing="1"/>
        <w:jc w:val="both"/>
        <w:rPr>
          <w:rFonts w:cs="Calibri"/>
          <w:lang w:val="mk-MK" w:eastAsia="en-GB"/>
        </w:rPr>
      </w:pPr>
      <w:r w:rsidRPr="002A44C9">
        <w:rPr>
          <w:rFonts w:cs="Calibri"/>
          <w:lang w:val="mk-MK" w:eastAsia="en-GB"/>
        </w:rPr>
        <w:t>Значителна месечна заштеда</w:t>
      </w:r>
    </w:p>
    <w:p w14:paraId="6339CD0E" w14:textId="77777777" w:rsidR="002A44C9" w:rsidRPr="002A44C9" w:rsidRDefault="002A44C9" w:rsidP="002A44C9">
      <w:pPr>
        <w:numPr>
          <w:ilvl w:val="0"/>
          <w:numId w:val="46"/>
        </w:numPr>
        <w:spacing w:before="100" w:beforeAutospacing="1" w:after="100" w:afterAutospacing="1"/>
        <w:jc w:val="both"/>
        <w:rPr>
          <w:rFonts w:cs="Calibri"/>
          <w:lang w:val="mk-MK" w:eastAsia="en-GB"/>
        </w:rPr>
      </w:pPr>
      <w:r w:rsidRPr="002A44C9">
        <w:rPr>
          <w:rFonts w:cs="Calibri"/>
          <w:lang w:val="mk-MK" w:eastAsia="en-GB"/>
        </w:rPr>
        <w:t>Подобрување на условите за вработените</w:t>
      </w:r>
    </w:p>
    <w:p w14:paraId="3B7C88EC" w14:textId="77777777" w:rsidR="002A44C9" w:rsidRDefault="002A44C9" w:rsidP="002A44C9">
      <w:pPr>
        <w:numPr>
          <w:ilvl w:val="0"/>
          <w:numId w:val="46"/>
        </w:numPr>
        <w:spacing w:before="100" w:beforeAutospacing="1" w:after="100" w:afterAutospacing="1"/>
        <w:jc w:val="both"/>
        <w:rPr>
          <w:rFonts w:cs="Calibri"/>
          <w:lang w:val="mk-MK" w:eastAsia="en-GB"/>
        </w:rPr>
      </w:pPr>
      <w:r w:rsidRPr="002A44C9">
        <w:rPr>
          <w:rFonts w:cs="Calibri"/>
          <w:lang w:val="mk-MK" w:eastAsia="en-GB"/>
        </w:rPr>
        <w:t>Поголема еколошка одговорност и подобра репутација</w:t>
      </w:r>
    </w:p>
    <w:p w14:paraId="7947369A" w14:textId="01047CA6" w:rsidR="002A1CBF" w:rsidRPr="002A44C9" w:rsidRDefault="002A1CBF" w:rsidP="002A1CBF">
      <w:pPr>
        <w:spacing w:before="100" w:beforeAutospacing="1" w:after="100" w:afterAutospacing="1"/>
        <w:jc w:val="both"/>
        <w:rPr>
          <w:rFonts w:cs="Calibri"/>
          <w:lang w:val="mk-MK" w:eastAsia="en-GB"/>
        </w:rPr>
      </w:pPr>
      <w:r>
        <w:rPr>
          <w:rFonts w:cs="Calibri"/>
          <w:lang w:val="mk-MK" w:eastAsia="en-GB"/>
        </w:rPr>
        <w:t xml:space="preserve">Линк: </w:t>
      </w:r>
      <w:r w:rsidRPr="002A1CBF">
        <w:rPr>
          <w:rFonts w:cs="Calibri"/>
          <w:lang w:val="mk-MK" w:eastAsia="en-GB"/>
        </w:rPr>
        <w:t>https://www.ek-inst.ukim.edu.mk/wp-content/uploads/2022/08/kniga-Zelena-ekonomija-web.pdf</w:t>
      </w:r>
    </w:p>
    <w:p w14:paraId="6B962108" w14:textId="77777777" w:rsidR="002A44C9" w:rsidRPr="00B23CFF" w:rsidRDefault="002A44C9" w:rsidP="0089533D">
      <w:pPr>
        <w:spacing w:before="100" w:beforeAutospacing="1" w:after="100" w:afterAutospacing="1"/>
        <w:jc w:val="both"/>
        <w:rPr>
          <w:rFonts w:cs="Calibri"/>
          <w:lang w:val="sr-Cyrl-RS" w:eastAsia="en-GB"/>
        </w:rPr>
      </w:pPr>
    </w:p>
    <w:p w14:paraId="4A54EC25" w14:textId="77777777" w:rsidR="002A44C9" w:rsidRPr="00B23CFF" w:rsidRDefault="002A44C9" w:rsidP="0089533D">
      <w:pPr>
        <w:spacing w:before="100" w:beforeAutospacing="1" w:after="100" w:afterAutospacing="1"/>
        <w:jc w:val="both"/>
        <w:rPr>
          <w:rFonts w:cs="Calibri"/>
          <w:lang w:val="sr-Cyrl-RS" w:eastAsia="en-GB"/>
        </w:rPr>
      </w:pPr>
    </w:p>
    <w:p w14:paraId="6E6EFEDB" w14:textId="33341930" w:rsidR="00325CA3" w:rsidRPr="00B23CFF" w:rsidRDefault="00325CA3" w:rsidP="00F35817">
      <w:pPr>
        <w:rPr>
          <w:lang w:val="sr-Cyrl-RS"/>
        </w:rPr>
      </w:pPr>
    </w:p>
    <w:p w14:paraId="77CC1CB1" w14:textId="77777777" w:rsidR="00325CA3" w:rsidRPr="00B23CFF" w:rsidRDefault="00325CA3" w:rsidP="00F35817">
      <w:pPr>
        <w:rPr>
          <w:lang w:val="sr-Cyrl-RS"/>
        </w:rPr>
      </w:pPr>
    </w:p>
    <w:p w14:paraId="68C9A2E6" w14:textId="6F886E96" w:rsidR="00325CA3" w:rsidRPr="00B23CFF" w:rsidRDefault="00325CA3" w:rsidP="00F35817">
      <w:pPr>
        <w:rPr>
          <w:lang w:val="sr-Cyrl-RS"/>
        </w:rPr>
      </w:pPr>
    </w:p>
    <w:p w14:paraId="0D424210" w14:textId="636D793E" w:rsidR="00325CA3" w:rsidRPr="00B23CFF" w:rsidRDefault="00325CA3" w:rsidP="00F35817">
      <w:pPr>
        <w:rPr>
          <w:lang w:val="sr-Cyrl-RS"/>
        </w:rPr>
      </w:pPr>
    </w:p>
    <w:p w14:paraId="79D12340" w14:textId="77777777" w:rsidR="000F7CEB" w:rsidRPr="00B23CFF" w:rsidRDefault="000F7CEB" w:rsidP="00CB4718">
      <w:pPr>
        <w:spacing w:before="100" w:beforeAutospacing="1" w:after="100" w:afterAutospacing="1"/>
        <w:jc w:val="both"/>
        <w:rPr>
          <w:rFonts w:cs="Calibri"/>
          <w:lang w:val="sr-Cyrl-RS" w:eastAsia="en-GB"/>
        </w:rPr>
      </w:pPr>
    </w:p>
    <w:p w14:paraId="3CBAF9B3" w14:textId="77777777" w:rsidR="000F7CEB" w:rsidRPr="00B23CFF" w:rsidRDefault="000F7CEB" w:rsidP="00CB4718">
      <w:pPr>
        <w:spacing w:before="100" w:beforeAutospacing="1" w:after="100" w:afterAutospacing="1"/>
        <w:jc w:val="both"/>
        <w:rPr>
          <w:rFonts w:cs="Calibri"/>
          <w:lang w:val="sr-Cyrl-RS" w:eastAsia="en-GB"/>
        </w:rPr>
      </w:pPr>
    </w:p>
    <w:p w14:paraId="45F3152D" w14:textId="19802B07" w:rsidR="000E1291" w:rsidRPr="00F35817" w:rsidRDefault="000E1291" w:rsidP="000E1291">
      <w:pPr>
        <w:pStyle w:val="ListParagraph"/>
        <w:spacing w:before="100" w:beforeAutospacing="1" w:after="100" w:afterAutospacing="1"/>
        <w:jc w:val="both"/>
        <w:rPr>
          <w:rFonts w:cs="Calibri"/>
          <w:lang w:eastAsia="en-GB"/>
        </w:rPr>
      </w:pPr>
    </w:p>
    <w:p w14:paraId="64FF708D" w14:textId="368DB63A" w:rsidR="000E1291" w:rsidRPr="00F35817" w:rsidRDefault="000E1291" w:rsidP="000E1291">
      <w:pPr>
        <w:pStyle w:val="ListParagraph"/>
        <w:spacing w:before="100" w:beforeAutospacing="1" w:after="100" w:afterAutospacing="1"/>
        <w:jc w:val="both"/>
        <w:rPr>
          <w:rFonts w:cs="Calibri"/>
          <w:lang w:eastAsia="en-GB"/>
        </w:rPr>
      </w:pPr>
    </w:p>
    <w:p w14:paraId="7594A336" w14:textId="2D7C51C3" w:rsidR="000E1291" w:rsidRPr="00F35817" w:rsidRDefault="000E1291" w:rsidP="000E1291">
      <w:pPr>
        <w:pStyle w:val="ListParagraph"/>
        <w:spacing w:before="100" w:beforeAutospacing="1" w:after="100" w:afterAutospacing="1"/>
        <w:jc w:val="both"/>
        <w:rPr>
          <w:rFonts w:cs="Calibri"/>
          <w:lang w:eastAsia="en-GB"/>
        </w:rPr>
      </w:pPr>
    </w:p>
    <w:sectPr w:rsidR="000E1291" w:rsidRPr="00F35817" w:rsidSect="001E2800">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4E5F" w14:textId="77777777" w:rsidR="00756746" w:rsidRDefault="00756746" w:rsidP="001E2800">
      <w:r>
        <w:separator/>
      </w:r>
    </w:p>
  </w:endnote>
  <w:endnote w:type="continuationSeparator" w:id="0">
    <w:p w14:paraId="4640DE49" w14:textId="77777777" w:rsidR="00756746" w:rsidRDefault="00756746" w:rsidP="001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7302"/>
      <w:docPartObj>
        <w:docPartGallery w:val="Page Numbers (Bottom of Page)"/>
        <w:docPartUnique/>
      </w:docPartObj>
    </w:sdtPr>
    <w:sdtEndPr>
      <w:rPr>
        <w:noProof/>
      </w:rPr>
    </w:sdtEndPr>
    <w:sdtContent>
      <w:p w14:paraId="5D4E3261" w14:textId="52684E64" w:rsidR="007D5C1F" w:rsidRDefault="007D5C1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03EAAA" w14:textId="77777777" w:rsidR="007D5C1F" w:rsidRDefault="007D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DD1" w14:textId="7698B3B2" w:rsidR="007D5C1F" w:rsidRPr="00653B75" w:rsidRDefault="007D5C1F" w:rsidP="00653B75">
    <w:pPr>
      <w:pStyle w:val="Footer"/>
      <w:rPr>
        <w:sz w:val="6"/>
        <w:szCs w:val="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1839"/>
      <w:gridCol w:w="3985"/>
    </w:tblGrid>
    <w:tr w:rsidR="00BF0908" w:rsidRPr="00BF0908" w14:paraId="1BD42367" w14:textId="77777777">
      <w:trPr>
        <w:trHeight w:val="997"/>
      </w:trPr>
      <w:tc>
        <w:tcPr>
          <w:tcW w:w="3936" w:type="dxa"/>
          <w:vAlign w:val="center"/>
        </w:tcPr>
        <w:p w14:paraId="78946859" w14:textId="77777777" w:rsidR="00BF0908" w:rsidRPr="00BF0908" w:rsidRDefault="00BF0908" w:rsidP="00BF0908">
          <w:pPr>
            <w:tabs>
              <w:tab w:val="center" w:pos="4680"/>
              <w:tab w:val="right" w:pos="9360"/>
            </w:tabs>
            <w:jc w:val="center"/>
            <w:rPr>
              <w:lang w:val="sr-Cyrl-RS"/>
            </w:rPr>
          </w:pPr>
          <w:r w:rsidRPr="00BF0908">
            <w:rPr>
              <w:noProof/>
              <w:color w:val="000080"/>
              <w:sz w:val="14"/>
              <w:lang w:eastAsia="en-GB"/>
            </w:rPr>
            <w:drawing>
              <wp:inline distT="0" distB="0" distL="0" distR="0" wp14:anchorId="345EF265" wp14:editId="3985ED93">
                <wp:extent cx="494365" cy="540000"/>
                <wp:effectExtent l="0" t="0" r="1270" b="0"/>
                <wp:docPr id="198846455" name="Picture 198846455"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BF0908">
            <w:rPr>
              <w:rFonts w:cs="Calibri"/>
              <w:noProof/>
              <w:sz w:val="20"/>
              <w:szCs w:val="20"/>
              <w:lang w:eastAsia="en-GB"/>
            </w:rPr>
            <w:drawing>
              <wp:inline distT="0" distB="0" distL="0" distR="0" wp14:anchorId="61F7F4EB" wp14:editId="007BD762">
                <wp:extent cx="1794931" cy="540000"/>
                <wp:effectExtent l="0" t="0" r="0" b="0"/>
                <wp:docPr id="1135599414" name="Picture 1135599414"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70741504" w14:textId="77777777" w:rsidR="00BF0908" w:rsidRPr="00BF0908" w:rsidRDefault="00BF0908" w:rsidP="00BF0908">
          <w:pPr>
            <w:tabs>
              <w:tab w:val="center" w:pos="4680"/>
              <w:tab w:val="right" w:pos="9360"/>
            </w:tabs>
            <w:rPr>
              <w:lang w:val="sr-Cyrl-RS"/>
            </w:rPr>
          </w:pPr>
          <w:r w:rsidRPr="00BF0908">
            <w:rPr>
              <w:noProof/>
              <w:lang w:eastAsia="en-GB"/>
            </w:rPr>
            <w:drawing>
              <wp:inline distT="0" distB="0" distL="0" distR="0" wp14:anchorId="2A026F51" wp14:editId="3A75506B">
                <wp:extent cx="626935" cy="540000"/>
                <wp:effectExtent l="0" t="0" r="1905" b="0"/>
                <wp:docPr id="695991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30572FDE" w14:textId="7B7A5B07" w:rsidR="00BF0908" w:rsidRPr="00BF0908" w:rsidRDefault="000B7907" w:rsidP="00BF0908">
          <w:pPr>
            <w:tabs>
              <w:tab w:val="center" w:pos="4680"/>
              <w:tab w:val="right" w:pos="9360"/>
            </w:tabs>
            <w:jc w:val="right"/>
            <w:rPr>
              <w:lang w:val="sr-Cyrl-RS"/>
            </w:rPr>
          </w:pPr>
          <w:r>
            <w:rPr>
              <w:noProof/>
              <w:lang w:val="en-GB" w:eastAsia="en-GB"/>
            </w:rPr>
            <w:drawing>
              <wp:inline distT="0" distB="0" distL="0" distR="0" wp14:anchorId="200322CA" wp14:editId="248F35D5">
                <wp:extent cx="2171700" cy="467709"/>
                <wp:effectExtent l="0" t="0" r="0" b="889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182532" cy="470042"/>
                        </a:xfrm>
                        <a:prstGeom prst="rect">
                          <a:avLst/>
                        </a:prstGeom>
                        <a:noFill/>
                        <a:ln>
                          <a:noFill/>
                        </a:ln>
                      </pic:spPr>
                    </pic:pic>
                  </a:graphicData>
                </a:graphic>
              </wp:inline>
            </w:drawing>
          </w:r>
        </w:p>
      </w:tc>
    </w:tr>
  </w:tbl>
  <w:p w14:paraId="281FFC98" w14:textId="77777777" w:rsidR="007D5C1F" w:rsidRPr="00653B75" w:rsidRDefault="007D5C1F" w:rsidP="0065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0F56" w14:textId="77777777" w:rsidR="00756746" w:rsidRDefault="00756746" w:rsidP="001E2800">
      <w:r>
        <w:separator/>
      </w:r>
    </w:p>
  </w:footnote>
  <w:footnote w:type="continuationSeparator" w:id="0">
    <w:p w14:paraId="10DC167E" w14:textId="77777777" w:rsidR="00756746" w:rsidRDefault="00756746" w:rsidP="001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BF0908" w14:paraId="7658D533" w14:textId="77777777">
      <w:trPr>
        <w:trHeight w:val="1567"/>
      </w:trPr>
      <w:tc>
        <w:tcPr>
          <w:tcW w:w="1951" w:type="dxa"/>
          <w:vAlign w:val="center"/>
        </w:tcPr>
        <w:p w14:paraId="73C351EA" w14:textId="77777777" w:rsidR="00BF0908" w:rsidRDefault="00BF0908" w:rsidP="00BF0908">
          <w:pPr>
            <w:pStyle w:val="Header"/>
            <w:rPr>
              <w:noProof/>
            </w:rPr>
          </w:pPr>
          <w:r>
            <w:rPr>
              <w:noProof/>
              <w:lang w:eastAsia="en-GB"/>
            </w:rPr>
            <w:drawing>
              <wp:inline distT="0" distB="0" distL="0" distR="0" wp14:anchorId="48F8008F" wp14:editId="6D3A51AD">
                <wp:extent cx="1079500" cy="861060"/>
                <wp:effectExtent l="0" t="0" r="6350" b="0"/>
                <wp:docPr id="994011360"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272A7DD6" w14:textId="53ACBD20" w:rsidR="00BF0908" w:rsidRPr="003073CB" w:rsidRDefault="00BF0908" w:rsidP="00BF0908">
          <w:pPr>
            <w:pStyle w:val="Header"/>
            <w:rPr>
              <w:b/>
              <w:bCs/>
              <w:noProof/>
              <w:color w:val="008000"/>
              <w:sz w:val="24"/>
              <w:szCs w:val="24"/>
              <w:lang w:val="en-US"/>
            </w:rPr>
          </w:pPr>
          <w:r w:rsidRPr="00BD248D">
            <w:rPr>
              <w:b/>
              <w:bCs/>
              <w:noProof/>
              <w:color w:val="008000"/>
              <w:sz w:val="24"/>
              <w:szCs w:val="24"/>
            </w:rPr>
            <w:t>Зелен пат</w:t>
          </w:r>
        </w:p>
        <w:p w14:paraId="242A5016" w14:textId="5AED0820" w:rsidR="00BF0908" w:rsidRPr="003073CB" w:rsidRDefault="00BF0908" w:rsidP="00BF0908">
          <w:pPr>
            <w:pStyle w:val="Header"/>
            <w:rPr>
              <w:noProof/>
              <w:lang w:val="mk-MK"/>
            </w:rPr>
          </w:pPr>
          <w:r w:rsidRPr="00BD248D">
            <w:rPr>
              <w:b/>
              <w:bCs/>
              <w:noProof/>
              <w:color w:val="008000"/>
              <w:sz w:val="24"/>
              <w:szCs w:val="24"/>
            </w:rPr>
            <w:t>Партнерство за зелен</w:t>
          </w:r>
          <w:r w:rsidR="003073CB">
            <w:rPr>
              <w:b/>
              <w:bCs/>
              <w:noProof/>
              <w:color w:val="008000"/>
              <w:sz w:val="24"/>
              <w:szCs w:val="24"/>
              <w:lang w:val="mk-MK"/>
            </w:rPr>
            <w:t>и</w:t>
          </w:r>
          <w:r w:rsidRPr="00BD248D">
            <w:rPr>
              <w:b/>
              <w:bCs/>
              <w:noProof/>
              <w:color w:val="008000"/>
              <w:sz w:val="24"/>
              <w:szCs w:val="24"/>
            </w:rPr>
            <w:t xml:space="preserve"> бизнис</w:t>
          </w:r>
          <w:r w:rsidR="003073CB">
            <w:rPr>
              <w:b/>
              <w:bCs/>
              <w:noProof/>
              <w:color w:val="008000"/>
              <w:sz w:val="24"/>
              <w:szCs w:val="24"/>
              <w:lang w:val="mk-MK"/>
            </w:rPr>
            <w:t>и</w:t>
          </w:r>
        </w:p>
      </w:tc>
      <w:tc>
        <w:tcPr>
          <w:tcW w:w="5235" w:type="dxa"/>
          <w:vAlign w:val="center"/>
        </w:tcPr>
        <w:p w14:paraId="064F3190" w14:textId="77777777" w:rsidR="00BF0908" w:rsidRPr="00BD248D" w:rsidRDefault="00BF0908" w:rsidP="00BF0908">
          <w:pPr>
            <w:pStyle w:val="Header"/>
            <w:jc w:val="right"/>
            <w:rPr>
              <w:b/>
              <w:bCs/>
              <w:noProof/>
              <w:color w:val="003399"/>
              <w:sz w:val="28"/>
              <w:szCs w:val="28"/>
            </w:rPr>
          </w:pPr>
          <w:r w:rsidRPr="00BD248D">
            <w:rPr>
              <w:b/>
              <w:bCs/>
              <w:noProof/>
              <w:color w:val="003399"/>
              <w:sz w:val="28"/>
              <w:szCs w:val="28"/>
            </w:rPr>
            <w:t>Еразмус+</w:t>
          </w:r>
        </w:p>
        <w:p w14:paraId="272D256D" w14:textId="6D9AF6C6" w:rsidR="00BF0908" w:rsidRPr="00BD248D" w:rsidRDefault="00BF0908" w:rsidP="00BF0908">
          <w:pPr>
            <w:pStyle w:val="Header"/>
            <w:jc w:val="right"/>
            <w:rPr>
              <w:b/>
              <w:bCs/>
              <w:noProof/>
              <w:color w:val="003399"/>
              <w:sz w:val="20"/>
              <w:szCs w:val="20"/>
            </w:rPr>
          </w:pPr>
          <w:r w:rsidRPr="00BD248D">
            <w:rPr>
              <w:b/>
              <w:bCs/>
              <w:noProof/>
              <w:color w:val="003399"/>
              <w:sz w:val="20"/>
              <w:szCs w:val="20"/>
            </w:rPr>
            <w:t>KA210-ADU - Мали партнерства во образование за возрасни</w:t>
          </w:r>
        </w:p>
        <w:p w14:paraId="0A017E59" w14:textId="77777777" w:rsidR="00BF0908" w:rsidRPr="00BD248D" w:rsidRDefault="00BF0908" w:rsidP="00BF0908">
          <w:pPr>
            <w:pStyle w:val="Header"/>
            <w:jc w:val="right"/>
            <w:rPr>
              <w:b/>
              <w:bCs/>
              <w:noProof/>
              <w:color w:val="003399"/>
              <w:sz w:val="36"/>
              <w:szCs w:val="36"/>
            </w:rPr>
          </w:pPr>
          <w:r w:rsidRPr="00BD248D">
            <w:rPr>
              <w:b/>
              <w:bCs/>
              <w:noProof/>
              <w:color w:val="003399"/>
              <w:sz w:val="20"/>
              <w:szCs w:val="20"/>
            </w:rPr>
            <w:t>Проект 2023-2-RS01-KA210-ADU-000184311</w:t>
          </w:r>
        </w:p>
      </w:tc>
    </w:tr>
  </w:tbl>
  <w:p w14:paraId="43339809" w14:textId="5589F10C" w:rsidR="007D5C1F" w:rsidRDefault="007D5C1F" w:rsidP="006851E3">
    <w:pPr>
      <w:pStyle w:val="Header"/>
      <w:jc w:val="center"/>
      <w:rPr>
        <w:rFonts w:asciiTheme="minorHAnsi" w:hAnsi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D5C1F" w14:paraId="47B02DD9" w14:textId="77777777" w:rsidTr="00695E62">
      <w:tc>
        <w:tcPr>
          <w:tcW w:w="9879" w:type="dxa"/>
          <w:tcBorders>
            <w:bottom w:val="single" w:sz="4" w:space="0" w:color="auto"/>
          </w:tcBorders>
        </w:tcPr>
        <w:p w14:paraId="3BE7D3AB" w14:textId="645F1B43" w:rsidR="007D5C1F" w:rsidRPr="00BF0908" w:rsidRDefault="00562E6C" w:rsidP="00695E62">
          <w:pPr>
            <w:pStyle w:val="Header"/>
            <w:jc w:val="center"/>
            <w:rPr>
              <w:rFonts w:asciiTheme="minorHAnsi" w:hAnsiTheme="minorHAnsi"/>
              <w:b/>
              <w:bCs/>
              <w:sz w:val="28"/>
              <w:szCs w:val="28"/>
              <w:lang w:val="sr-Cyrl-RS"/>
            </w:rPr>
          </w:pPr>
          <w:bookmarkStart w:id="0" w:name="_Hlk195166076"/>
          <w:r w:rsidRPr="00562E6C">
            <w:rPr>
              <w:rFonts w:asciiTheme="minorHAnsi" w:hAnsiTheme="minorHAnsi"/>
              <w:b/>
              <w:bCs/>
              <w:sz w:val="28"/>
              <w:szCs w:val="28"/>
              <w:lang w:val="sr-Cyrl-RS"/>
            </w:rPr>
            <w:t>ПРИМЕРИ ЗА ДОБРА ПРАКСА ВО ФИНАНСИРАЊЕТО СО ЗЕЛЕНИ ФИНАНСИСКИ ИНСТРУМЕНТИ</w:t>
          </w:r>
          <w:bookmarkEnd w:id="0"/>
        </w:p>
      </w:tc>
    </w:tr>
  </w:tbl>
  <w:p w14:paraId="075A8A40" w14:textId="436FDE90" w:rsidR="007D5C1F" w:rsidRPr="00695E62" w:rsidRDefault="007D5C1F" w:rsidP="00695E62">
    <w:pPr>
      <w:pStyle w:val="Header"/>
      <w:jc w:val="center"/>
      <w:rPr>
        <w:sz w:val="2"/>
        <w:szCs w:val="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3B1"/>
    <w:multiLevelType w:val="multilevel"/>
    <w:tmpl w:val="353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65DCD"/>
    <w:multiLevelType w:val="hybridMultilevel"/>
    <w:tmpl w:val="D2CED288"/>
    <w:lvl w:ilvl="0" w:tplc="B73CFC62">
      <w:start w:val="1"/>
      <w:numFmt w:val="decimal"/>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F23B63"/>
    <w:multiLevelType w:val="multilevel"/>
    <w:tmpl w:val="1F16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E7C47"/>
    <w:multiLevelType w:val="hybridMultilevel"/>
    <w:tmpl w:val="160C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37933"/>
    <w:multiLevelType w:val="multilevel"/>
    <w:tmpl w:val="F44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F6116"/>
    <w:multiLevelType w:val="multilevel"/>
    <w:tmpl w:val="A7C2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A4B97"/>
    <w:multiLevelType w:val="multilevel"/>
    <w:tmpl w:val="5B1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D7564"/>
    <w:multiLevelType w:val="multilevel"/>
    <w:tmpl w:val="948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73E44"/>
    <w:multiLevelType w:val="multilevel"/>
    <w:tmpl w:val="F14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A2674"/>
    <w:multiLevelType w:val="multilevel"/>
    <w:tmpl w:val="EE96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714DB"/>
    <w:multiLevelType w:val="hybridMultilevel"/>
    <w:tmpl w:val="9F9C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6A59"/>
    <w:multiLevelType w:val="hybridMultilevel"/>
    <w:tmpl w:val="4A48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366FA"/>
    <w:multiLevelType w:val="multilevel"/>
    <w:tmpl w:val="C8F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A3635"/>
    <w:multiLevelType w:val="multilevel"/>
    <w:tmpl w:val="859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777D3"/>
    <w:multiLevelType w:val="multilevel"/>
    <w:tmpl w:val="335A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C0DDC"/>
    <w:multiLevelType w:val="hybridMultilevel"/>
    <w:tmpl w:val="B38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21194"/>
    <w:multiLevelType w:val="hybridMultilevel"/>
    <w:tmpl w:val="214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07DBC"/>
    <w:multiLevelType w:val="multilevel"/>
    <w:tmpl w:val="F5D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3601B"/>
    <w:multiLevelType w:val="multilevel"/>
    <w:tmpl w:val="84C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855DB"/>
    <w:multiLevelType w:val="hybridMultilevel"/>
    <w:tmpl w:val="E4BE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23DDA"/>
    <w:multiLevelType w:val="hybridMultilevel"/>
    <w:tmpl w:val="0EF4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96F4F"/>
    <w:multiLevelType w:val="multilevel"/>
    <w:tmpl w:val="0BF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582040"/>
    <w:multiLevelType w:val="multilevel"/>
    <w:tmpl w:val="ED3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7F4B40"/>
    <w:multiLevelType w:val="multilevel"/>
    <w:tmpl w:val="54D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860585"/>
    <w:multiLevelType w:val="multilevel"/>
    <w:tmpl w:val="FB1E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C83A8E"/>
    <w:multiLevelType w:val="multilevel"/>
    <w:tmpl w:val="4E1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C96304"/>
    <w:multiLevelType w:val="multilevel"/>
    <w:tmpl w:val="C5D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A95BB1"/>
    <w:multiLevelType w:val="multilevel"/>
    <w:tmpl w:val="97AE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593227"/>
    <w:multiLevelType w:val="multilevel"/>
    <w:tmpl w:val="7340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B39FE"/>
    <w:multiLevelType w:val="multilevel"/>
    <w:tmpl w:val="170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AB6B1B"/>
    <w:multiLevelType w:val="multilevel"/>
    <w:tmpl w:val="925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88657B"/>
    <w:multiLevelType w:val="multilevel"/>
    <w:tmpl w:val="D02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9D1D1E"/>
    <w:multiLevelType w:val="multilevel"/>
    <w:tmpl w:val="98D6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EE343E"/>
    <w:multiLevelType w:val="hybridMultilevel"/>
    <w:tmpl w:val="FB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27968"/>
    <w:multiLevelType w:val="hybridMultilevel"/>
    <w:tmpl w:val="AA0C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B60E72"/>
    <w:multiLevelType w:val="multilevel"/>
    <w:tmpl w:val="DB1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602B98"/>
    <w:multiLevelType w:val="multilevel"/>
    <w:tmpl w:val="579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DD1ED9"/>
    <w:multiLevelType w:val="multilevel"/>
    <w:tmpl w:val="2F2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A606B8"/>
    <w:multiLevelType w:val="hybridMultilevel"/>
    <w:tmpl w:val="01A2D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3600BE2"/>
    <w:multiLevelType w:val="multilevel"/>
    <w:tmpl w:val="235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720FE2"/>
    <w:multiLevelType w:val="multilevel"/>
    <w:tmpl w:val="2AD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4B05BA"/>
    <w:multiLevelType w:val="hybridMultilevel"/>
    <w:tmpl w:val="4AF4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601A31"/>
    <w:multiLevelType w:val="hybridMultilevel"/>
    <w:tmpl w:val="EB6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B49BB"/>
    <w:multiLevelType w:val="multilevel"/>
    <w:tmpl w:val="A78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EE26A1"/>
    <w:multiLevelType w:val="multilevel"/>
    <w:tmpl w:val="468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322018">
    <w:abstractNumId w:val="3"/>
  </w:num>
  <w:num w:numId="2" w16cid:durableId="1702511226">
    <w:abstractNumId w:val="15"/>
  </w:num>
  <w:num w:numId="3" w16cid:durableId="2095784521">
    <w:abstractNumId w:val="11"/>
  </w:num>
  <w:num w:numId="4" w16cid:durableId="2016178344">
    <w:abstractNumId w:val="34"/>
  </w:num>
  <w:num w:numId="5" w16cid:durableId="695152713">
    <w:abstractNumId w:val="16"/>
  </w:num>
  <w:num w:numId="6" w16cid:durableId="98381236">
    <w:abstractNumId w:val="42"/>
  </w:num>
  <w:num w:numId="7" w16cid:durableId="1224946647">
    <w:abstractNumId w:val="41"/>
  </w:num>
  <w:num w:numId="8" w16cid:durableId="972641926">
    <w:abstractNumId w:val="33"/>
  </w:num>
  <w:num w:numId="9" w16cid:durableId="1163738206">
    <w:abstractNumId w:val="38"/>
  </w:num>
  <w:num w:numId="10" w16cid:durableId="455372977">
    <w:abstractNumId w:val="10"/>
  </w:num>
  <w:num w:numId="11" w16cid:durableId="60951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928732">
    <w:abstractNumId w:val="1"/>
  </w:num>
  <w:num w:numId="13" w16cid:durableId="737286427">
    <w:abstractNumId w:val="19"/>
  </w:num>
  <w:num w:numId="14" w16cid:durableId="196739500">
    <w:abstractNumId w:val="20"/>
  </w:num>
  <w:num w:numId="15" w16cid:durableId="481968838">
    <w:abstractNumId w:val="13"/>
  </w:num>
  <w:num w:numId="16" w16cid:durableId="1980767830">
    <w:abstractNumId w:val="40"/>
  </w:num>
  <w:num w:numId="17" w16cid:durableId="1341280152">
    <w:abstractNumId w:val="0"/>
  </w:num>
  <w:num w:numId="18" w16cid:durableId="1390689604">
    <w:abstractNumId w:val="25"/>
  </w:num>
  <w:num w:numId="19" w16cid:durableId="818426805">
    <w:abstractNumId w:val="7"/>
  </w:num>
  <w:num w:numId="20" w16cid:durableId="1900167304">
    <w:abstractNumId w:val="31"/>
  </w:num>
  <w:num w:numId="21" w16cid:durableId="370812801">
    <w:abstractNumId w:val="37"/>
  </w:num>
  <w:num w:numId="22" w16cid:durableId="941035576">
    <w:abstractNumId w:val="23"/>
  </w:num>
  <w:num w:numId="23" w16cid:durableId="799496926">
    <w:abstractNumId w:val="35"/>
  </w:num>
  <w:num w:numId="24" w16cid:durableId="587426842">
    <w:abstractNumId w:val="24"/>
  </w:num>
  <w:num w:numId="25" w16cid:durableId="1031491331">
    <w:abstractNumId w:val="44"/>
  </w:num>
  <w:num w:numId="26" w16cid:durableId="515387125">
    <w:abstractNumId w:val="43"/>
  </w:num>
  <w:num w:numId="27" w16cid:durableId="1400128545">
    <w:abstractNumId w:val="18"/>
  </w:num>
  <w:num w:numId="28" w16cid:durableId="766929683">
    <w:abstractNumId w:val="32"/>
  </w:num>
  <w:num w:numId="29" w16cid:durableId="1671326534">
    <w:abstractNumId w:val="9"/>
  </w:num>
  <w:num w:numId="30" w16cid:durableId="1313558928">
    <w:abstractNumId w:val="22"/>
  </w:num>
  <w:num w:numId="31" w16cid:durableId="1528103803">
    <w:abstractNumId w:val="21"/>
  </w:num>
  <w:num w:numId="32" w16cid:durableId="520316095">
    <w:abstractNumId w:val="17"/>
  </w:num>
  <w:num w:numId="33" w16cid:durableId="1706248420">
    <w:abstractNumId w:val="27"/>
  </w:num>
  <w:num w:numId="34" w16cid:durableId="689918903">
    <w:abstractNumId w:val="4"/>
  </w:num>
  <w:num w:numId="35" w16cid:durableId="505637724">
    <w:abstractNumId w:val="30"/>
  </w:num>
  <w:num w:numId="36" w16cid:durableId="924191857">
    <w:abstractNumId w:val="39"/>
  </w:num>
  <w:num w:numId="37" w16cid:durableId="1329944235">
    <w:abstractNumId w:val="5"/>
  </w:num>
  <w:num w:numId="38" w16cid:durableId="2142184004">
    <w:abstractNumId w:val="6"/>
  </w:num>
  <w:num w:numId="39" w16cid:durableId="1863936708">
    <w:abstractNumId w:val="26"/>
  </w:num>
  <w:num w:numId="40" w16cid:durableId="349574211">
    <w:abstractNumId w:val="12"/>
  </w:num>
  <w:num w:numId="41" w16cid:durableId="2094693511">
    <w:abstractNumId w:val="2"/>
  </w:num>
  <w:num w:numId="42" w16cid:durableId="2071145365">
    <w:abstractNumId w:val="36"/>
  </w:num>
  <w:num w:numId="43" w16cid:durableId="270672452">
    <w:abstractNumId w:val="14"/>
  </w:num>
  <w:num w:numId="44" w16cid:durableId="901449524">
    <w:abstractNumId w:val="29"/>
  </w:num>
  <w:num w:numId="45" w16cid:durableId="730688707">
    <w:abstractNumId w:val="8"/>
  </w:num>
  <w:num w:numId="46" w16cid:durableId="205511052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37"/>
    <w:rsid w:val="00004084"/>
    <w:rsid w:val="00011D2B"/>
    <w:rsid w:val="000133A0"/>
    <w:rsid w:val="00015560"/>
    <w:rsid w:val="0002093D"/>
    <w:rsid w:val="00025FDB"/>
    <w:rsid w:val="00035EEC"/>
    <w:rsid w:val="0004054B"/>
    <w:rsid w:val="00056086"/>
    <w:rsid w:val="00084A2F"/>
    <w:rsid w:val="000A3F7A"/>
    <w:rsid w:val="000A7EBA"/>
    <w:rsid w:val="000B69F2"/>
    <w:rsid w:val="000B7907"/>
    <w:rsid w:val="000C0227"/>
    <w:rsid w:val="000C5D68"/>
    <w:rsid w:val="000D0026"/>
    <w:rsid w:val="000D0ACD"/>
    <w:rsid w:val="000D4CA8"/>
    <w:rsid w:val="000D6856"/>
    <w:rsid w:val="000E1291"/>
    <w:rsid w:val="000F7CEB"/>
    <w:rsid w:val="001238EB"/>
    <w:rsid w:val="001348B5"/>
    <w:rsid w:val="00140B7F"/>
    <w:rsid w:val="001572AF"/>
    <w:rsid w:val="00157D6B"/>
    <w:rsid w:val="001679CB"/>
    <w:rsid w:val="00175B92"/>
    <w:rsid w:val="0018266F"/>
    <w:rsid w:val="0019182C"/>
    <w:rsid w:val="001971AB"/>
    <w:rsid w:val="001D1A75"/>
    <w:rsid w:val="001D36FC"/>
    <w:rsid w:val="001E2800"/>
    <w:rsid w:val="001F023E"/>
    <w:rsid w:val="001F3E52"/>
    <w:rsid w:val="00215A37"/>
    <w:rsid w:val="00236809"/>
    <w:rsid w:val="002403AB"/>
    <w:rsid w:val="002509E2"/>
    <w:rsid w:val="00252976"/>
    <w:rsid w:val="00280BC3"/>
    <w:rsid w:val="00293B3F"/>
    <w:rsid w:val="002A1CBF"/>
    <w:rsid w:val="002A44C9"/>
    <w:rsid w:val="002B12FD"/>
    <w:rsid w:val="002D038A"/>
    <w:rsid w:val="002E55E1"/>
    <w:rsid w:val="002F6DEC"/>
    <w:rsid w:val="003073CB"/>
    <w:rsid w:val="0032166A"/>
    <w:rsid w:val="00325CA3"/>
    <w:rsid w:val="0032637D"/>
    <w:rsid w:val="00326C78"/>
    <w:rsid w:val="00335858"/>
    <w:rsid w:val="00337078"/>
    <w:rsid w:val="003439B3"/>
    <w:rsid w:val="00376B5D"/>
    <w:rsid w:val="00380171"/>
    <w:rsid w:val="00395ACC"/>
    <w:rsid w:val="003A0DD3"/>
    <w:rsid w:val="003A14DA"/>
    <w:rsid w:val="003B51B7"/>
    <w:rsid w:val="003B5848"/>
    <w:rsid w:val="003B7F7A"/>
    <w:rsid w:val="003C5390"/>
    <w:rsid w:val="003D2EC5"/>
    <w:rsid w:val="003D40CC"/>
    <w:rsid w:val="003D5937"/>
    <w:rsid w:val="003E4E32"/>
    <w:rsid w:val="003F679B"/>
    <w:rsid w:val="004028A5"/>
    <w:rsid w:val="00430806"/>
    <w:rsid w:val="00466184"/>
    <w:rsid w:val="00482845"/>
    <w:rsid w:val="0048470D"/>
    <w:rsid w:val="00494FE5"/>
    <w:rsid w:val="00495315"/>
    <w:rsid w:val="004B10E6"/>
    <w:rsid w:val="004B1800"/>
    <w:rsid w:val="004B2952"/>
    <w:rsid w:val="004B58C8"/>
    <w:rsid w:val="004B6DD8"/>
    <w:rsid w:val="004D2D56"/>
    <w:rsid w:val="004D61A0"/>
    <w:rsid w:val="004F54DF"/>
    <w:rsid w:val="00545DDE"/>
    <w:rsid w:val="005530F3"/>
    <w:rsid w:val="00561B16"/>
    <w:rsid w:val="00562E6C"/>
    <w:rsid w:val="0058404F"/>
    <w:rsid w:val="0058773C"/>
    <w:rsid w:val="005920F4"/>
    <w:rsid w:val="005A3453"/>
    <w:rsid w:val="005B56F6"/>
    <w:rsid w:val="005D4E7C"/>
    <w:rsid w:val="005D62E0"/>
    <w:rsid w:val="006079B3"/>
    <w:rsid w:val="00612283"/>
    <w:rsid w:val="00620552"/>
    <w:rsid w:val="00623841"/>
    <w:rsid w:val="00633C1C"/>
    <w:rsid w:val="00645F7F"/>
    <w:rsid w:val="00653B75"/>
    <w:rsid w:val="006851E3"/>
    <w:rsid w:val="0069392D"/>
    <w:rsid w:val="00695E62"/>
    <w:rsid w:val="006A4E18"/>
    <w:rsid w:val="006B704B"/>
    <w:rsid w:val="006D4595"/>
    <w:rsid w:val="006E45F1"/>
    <w:rsid w:val="006E7F43"/>
    <w:rsid w:val="006F1220"/>
    <w:rsid w:val="007012A0"/>
    <w:rsid w:val="007056BC"/>
    <w:rsid w:val="00707B9A"/>
    <w:rsid w:val="00731CB7"/>
    <w:rsid w:val="00740FD0"/>
    <w:rsid w:val="00756746"/>
    <w:rsid w:val="007774B4"/>
    <w:rsid w:val="00783CB2"/>
    <w:rsid w:val="007B181C"/>
    <w:rsid w:val="007B63E8"/>
    <w:rsid w:val="007C2B83"/>
    <w:rsid w:val="007D5C1F"/>
    <w:rsid w:val="007D702A"/>
    <w:rsid w:val="007E7B0D"/>
    <w:rsid w:val="00805384"/>
    <w:rsid w:val="0081339C"/>
    <w:rsid w:val="008136CE"/>
    <w:rsid w:val="008437DB"/>
    <w:rsid w:val="0085726D"/>
    <w:rsid w:val="0089533D"/>
    <w:rsid w:val="008A39B5"/>
    <w:rsid w:val="008A4934"/>
    <w:rsid w:val="008B089A"/>
    <w:rsid w:val="008E4F19"/>
    <w:rsid w:val="008F25F8"/>
    <w:rsid w:val="009523A0"/>
    <w:rsid w:val="009554C4"/>
    <w:rsid w:val="009578C4"/>
    <w:rsid w:val="0096024B"/>
    <w:rsid w:val="00960CEB"/>
    <w:rsid w:val="009710BD"/>
    <w:rsid w:val="009804E5"/>
    <w:rsid w:val="009B1656"/>
    <w:rsid w:val="009B3A06"/>
    <w:rsid w:val="009D2B5B"/>
    <w:rsid w:val="009D383F"/>
    <w:rsid w:val="009E2188"/>
    <w:rsid w:val="009E6810"/>
    <w:rsid w:val="009F0A28"/>
    <w:rsid w:val="009F2023"/>
    <w:rsid w:val="009F2A23"/>
    <w:rsid w:val="009F5BD3"/>
    <w:rsid w:val="00A127DF"/>
    <w:rsid w:val="00A15BD5"/>
    <w:rsid w:val="00A17080"/>
    <w:rsid w:val="00A264EF"/>
    <w:rsid w:val="00A356B1"/>
    <w:rsid w:val="00A367CE"/>
    <w:rsid w:val="00A41934"/>
    <w:rsid w:val="00A4237F"/>
    <w:rsid w:val="00A77FF6"/>
    <w:rsid w:val="00A81D82"/>
    <w:rsid w:val="00A82D2F"/>
    <w:rsid w:val="00A852F1"/>
    <w:rsid w:val="00AA559C"/>
    <w:rsid w:val="00AB7AA8"/>
    <w:rsid w:val="00AD0E04"/>
    <w:rsid w:val="00B11BC7"/>
    <w:rsid w:val="00B13BA3"/>
    <w:rsid w:val="00B15DE1"/>
    <w:rsid w:val="00B21E9C"/>
    <w:rsid w:val="00B226C3"/>
    <w:rsid w:val="00B23CFF"/>
    <w:rsid w:val="00B41C11"/>
    <w:rsid w:val="00B4310A"/>
    <w:rsid w:val="00B67E37"/>
    <w:rsid w:val="00B800D6"/>
    <w:rsid w:val="00B8734E"/>
    <w:rsid w:val="00B93352"/>
    <w:rsid w:val="00BA1CD2"/>
    <w:rsid w:val="00BA6900"/>
    <w:rsid w:val="00BB640D"/>
    <w:rsid w:val="00BD64D9"/>
    <w:rsid w:val="00BF0908"/>
    <w:rsid w:val="00BF6423"/>
    <w:rsid w:val="00C0072D"/>
    <w:rsid w:val="00C00B10"/>
    <w:rsid w:val="00C25B22"/>
    <w:rsid w:val="00C56267"/>
    <w:rsid w:val="00C70588"/>
    <w:rsid w:val="00C74732"/>
    <w:rsid w:val="00C762BF"/>
    <w:rsid w:val="00C8606D"/>
    <w:rsid w:val="00CA115A"/>
    <w:rsid w:val="00CA5749"/>
    <w:rsid w:val="00CB40D0"/>
    <w:rsid w:val="00CB4718"/>
    <w:rsid w:val="00CB602B"/>
    <w:rsid w:val="00CB7866"/>
    <w:rsid w:val="00CD7C9F"/>
    <w:rsid w:val="00CE31CF"/>
    <w:rsid w:val="00CE4E68"/>
    <w:rsid w:val="00CE5DA7"/>
    <w:rsid w:val="00CF1B77"/>
    <w:rsid w:val="00CF38C0"/>
    <w:rsid w:val="00CF58DA"/>
    <w:rsid w:val="00CF7206"/>
    <w:rsid w:val="00D01A9A"/>
    <w:rsid w:val="00D0516E"/>
    <w:rsid w:val="00D16F49"/>
    <w:rsid w:val="00D21DFF"/>
    <w:rsid w:val="00D22B30"/>
    <w:rsid w:val="00D536AE"/>
    <w:rsid w:val="00D74022"/>
    <w:rsid w:val="00D80DF7"/>
    <w:rsid w:val="00D960E5"/>
    <w:rsid w:val="00DD5BC3"/>
    <w:rsid w:val="00DE105E"/>
    <w:rsid w:val="00E00C34"/>
    <w:rsid w:val="00E146BD"/>
    <w:rsid w:val="00E27B22"/>
    <w:rsid w:val="00E34DDD"/>
    <w:rsid w:val="00E377B9"/>
    <w:rsid w:val="00E65B7D"/>
    <w:rsid w:val="00E84C63"/>
    <w:rsid w:val="00E92400"/>
    <w:rsid w:val="00EA046F"/>
    <w:rsid w:val="00EA5D69"/>
    <w:rsid w:val="00EC1C26"/>
    <w:rsid w:val="00EC618F"/>
    <w:rsid w:val="00ED10FF"/>
    <w:rsid w:val="00ED78ED"/>
    <w:rsid w:val="00EE6E26"/>
    <w:rsid w:val="00EF1B04"/>
    <w:rsid w:val="00EF3807"/>
    <w:rsid w:val="00EF4F5A"/>
    <w:rsid w:val="00EF6FCA"/>
    <w:rsid w:val="00F107D4"/>
    <w:rsid w:val="00F35817"/>
    <w:rsid w:val="00F35CF0"/>
    <w:rsid w:val="00F439F9"/>
    <w:rsid w:val="00F46D1B"/>
    <w:rsid w:val="00F671C2"/>
    <w:rsid w:val="00F734D4"/>
    <w:rsid w:val="00F751C8"/>
    <w:rsid w:val="00F812AD"/>
    <w:rsid w:val="00F84323"/>
    <w:rsid w:val="00F9444F"/>
    <w:rsid w:val="00F95C0E"/>
    <w:rsid w:val="00FA28F7"/>
    <w:rsid w:val="00FA3772"/>
    <w:rsid w:val="00FB6078"/>
    <w:rsid w:val="00FC76EE"/>
    <w:rsid w:val="00FD07D0"/>
    <w:rsid w:val="00FD3C8E"/>
    <w:rsid w:val="00FD52C8"/>
    <w:rsid w:val="00FE358F"/>
    <w:rsid w:val="00FE6311"/>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477"/>
  <w15:chartTrackingRefBased/>
  <w15:docId w15:val="{2247D52B-0972-411E-ACCC-B39659C0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m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10"/>
  </w:style>
  <w:style w:type="paragraph" w:styleId="Heading1">
    <w:name w:val="heading 1"/>
    <w:basedOn w:val="Normal"/>
    <w:next w:val="Normal"/>
    <w:link w:val="Heading1Char"/>
    <w:uiPriority w:val="9"/>
    <w:qFormat/>
    <w:rsid w:val="00BF09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F09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90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090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090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F09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09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09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09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w:basedOn w:val="Normal"/>
    <w:link w:val="HeaderChar"/>
    <w:unhideWhenUsed/>
    <w:rsid w:val="001E2800"/>
    <w:pPr>
      <w:tabs>
        <w:tab w:val="center" w:pos="4680"/>
        <w:tab w:val="right" w:pos="9360"/>
      </w:tabs>
    </w:pPr>
  </w:style>
  <w:style w:type="character" w:customStyle="1" w:styleId="HeaderChar">
    <w:name w:val="Header Char"/>
    <w:aliases w:val="(17) EPR Header Char"/>
    <w:basedOn w:val="DefaultParagraphFont"/>
    <w:link w:val="Header"/>
    <w:rsid w:val="001E2800"/>
    <w:rPr>
      <w:lang w:val="mk"/>
    </w:rPr>
  </w:style>
  <w:style w:type="paragraph" w:styleId="Footer">
    <w:name w:val="footer"/>
    <w:basedOn w:val="Normal"/>
    <w:link w:val="FooterChar"/>
    <w:uiPriority w:val="99"/>
    <w:unhideWhenUsed/>
    <w:rsid w:val="001E2800"/>
    <w:pPr>
      <w:tabs>
        <w:tab w:val="center" w:pos="4680"/>
        <w:tab w:val="right" w:pos="9360"/>
      </w:tabs>
    </w:pPr>
  </w:style>
  <w:style w:type="character" w:customStyle="1" w:styleId="FooterChar">
    <w:name w:val="Footer Char"/>
    <w:basedOn w:val="DefaultParagraphFont"/>
    <w:link w:val="Footer"/>
    <w:uiPriority w:val="99"/>
    <w:rsid w:val="001E2800"/>
    <w:rPr>
      <w:lang w:val="mk"/>
    </w:rPr>
  </w:style>
  <w:style w:type="table" w:styleId="TableGrid">
    <w:name w:val="Table Grid"/>
    <w:basedOn w:val="TableNormal"/>
    <w:uiPriority w:val="39"/>
    <w:rsid w:val="0065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09E2"/>
    <w:pPr>
      <w:ind w:left="720"/>
      <w:contextualSpacing/>
    </w:pPr>
  </w:style>
  <w:style w:type="paragraph" w:styleId="NormalWeb">
    <w:name w:val="Normal (Web)"/>
    <w:basedOn w:val="Normal"/>
    <w:uiPriority w:val="99"/>
    <w:unhideWhenUsed/>
    <w:rsid w:val="00252976"/>
    <w:pPr>
      <w:spacing w:before="100" w:beforeAutospacing="1" w:after="100" w:afterAutospacing="1"/>
    </w:pPr>
    <w:rPr>
      <w:rFonts w:ascii="Times New Roman" w:hAnsi="Times New Roman" w:cs="Times New Roman"/>
      <w:sz w:val="24"/>
      <w:szCs w:val="24"/>
      <w:lang w:eastAsia="en-GB"/>
    </w:rPr>
  </w:style>
  <w:style w:type="table" w:customStyle="1" w:styleId="TableGrid1">
    <w:name w:val="Table Grid1"/>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908"/>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BF0908"/>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BF0908"/>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BF0908"/>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BF0908"/>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BF0908"/>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BF0908"/>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BF0908"/>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BF0908"/>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BF0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08"/>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BF09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908"/>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BF0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908"/>
    <w:rPr>
      <w:i/>
      <w:iCs/>
      <w:color w:val="404040" w:themeColor="text1" w:themeTint="BF"/>
      <w:lang w:val="mk"/>
    </w:rPr>
  </w:style>
  <w:style w:type="character" w:styleId="IntenseEmphasis">
    <w:name w:val="Intense Emphasis"/>
    <w:basedOn w:val="DefaultParagraphFont"/>
    <w:uiPriority w:val="21"/>
    <w:qFormat/>
    <w:rsid w:val="00BF0908"/>
    <w:rPr>
      <w:i/>
      <w:iCs/>
      <w:color w:val="365F91" w:themeColor="accent1" w:themeShade="BF"/>
    </w:rPr>
  </w:style>
  <w:style w:type="paragraph" w:styleId="IntenseQuote">
    <w:name w:val="Intense Quote"/>
    <w:basedOn w:val="Normal"/>
    <w:next w:val="Normal"/>
    <w:link w:val="IntenseQuoteChar"/>
    <w:uiPriority w:val="30"/>
    <w:qFormat/>
    <w:rsid w:val="00BF0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0908"/>
    <w:rPr>
      <w:i/>
      <w:iCs/>
      <w:color w:val="365F91" w:themeColor="accent1" w:themeShade="BF"/>
      <w:lang w:val="mk"/>
    </w:rPr>
  </w:style>
  <w:style w:type="character" w:styleId="IntenseReference">
    <w:name w:val="Intense Reference"/>
    <w:basedOn w:val="DefaultParagraphFont"/>
    <w:uiPriority w:val="32"/>
    <w:qFormat/>
    <w:rsid w:val="00BF0908"/>
    <w:rPr>
      <w:b/>
      <w:bCs/>
      <w:smallCaps/>
      <w:color w:val="365F91" w:themeColor="accent1" w:themeShade="BF"/>
      <w:spacing w:val="5"/>
    </w:rPr>
  </w:style>
  <w:style w:type="paragraph" w:customStyle="1" w:styleId="CharChar2">
    <w:name w:val="Char Char2"/>
    <w:basedOn w:val="Normal"/>
    <w:rsid w:val="00BF0908"/>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BF0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908"/>
    <w:rPr>
      <w:rFonts w:ascii="Segoe UI" w:hAnsi="Segoe UI" w:cs="Segoe UI"/>
      <w:sz w:val="18"/>
      <w:szCs w:val="18"/>
      <w:lang w:val="mk"/>
    </w:rPr>
  </w:style>
  <w:style w:type="character" w:styleId="PlaceholderText">
    <w:name w:val="Placeholder Text"/>
    <w:basedOn w:val="DefaultParagraphFont"/>
    <w:uiPriority w:val="99"/>
    <w:semiHidden/>
    <w:rsid w:val="00BF0908"/>
    <w:rPr>
      <w:color w:val="666666"/>
    </w:rPr>
  </w:style>
  <w:style w:type="paragraph" w:styleId="TOCHeading">
    <w:name w:val="TOC Heading"/>
    <w:basedOn w:val="Heading1"/>
    <w:next w:val="Normal"/>
    <w:uiPriority w:val="39"/>
    <w:unhideWhenUsed/>
    <w:qFormat/>
    <w:rsid w:val="00BF0908"/>
    <w:pPr>
      <w:spacing w:before="240" w:after="0" w:line="259" w:lineRule="auto"/>
      <w:outlineLvl w:val="9"/>
    </w:pPr>
    <w:rPr>
      <w:sz w:val="32"/>
      <w:szCs w:val="32"/>
    </w:rPr>
  </w:style>
  <w:style w:type="paragraph" w:styleId="TOC2">
    <w:name w:val="toc 2"/>
    <w:basedOn w:val="Normal"/>
    <w:next w:val="Normal"/>
    <w:autoRedefine/>
    <w:uiPriority w:val="39"/>
    <w:unhideWhenUsed/>
    <w:rsid w:val="00BF0908"/>
    <w:pPr>
      <w:tabs>
        <w:tab w:val="right" w:leader="dot" w:pos="9653"/>
      </w:tabs>
      <w:spacing w:after="100"/>
      <w:ind w:left="220"/>
      <w:jc w:val="both"/>
    </w:pPr>
  </w:style>
  <w:style w:type="character" w:styleId="Hyperlink">
    <w:name w:val="Hyperlink"/>
    <w:basedOn w:val="DefaultParagraphFont"/>
    <w:uiPriority w:val="99"/>
    <w:unhideWhenUsed/>
    <w:rsid w:val="00BF0908"/>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BF090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BF0908"/>
    <w:rPr>
      <w:kern w:val="2"/>
      <w:sz w:val="20"/>
      <w:szCs w:val="20"/>
      <w:lang w:val="mk"/>
      <w14:ligatures w14:val="standardContextual"/>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BF090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BF0908"/>
    <w:pPr>
      <w:spacing w:after="160" w:line="240" w:lineRule="exact"/>
    </w:pPr>
    <w:rPr>
      <w:vertAlign w:val="superscript"/>
    </w:rPr>
  </w:style>
  <w:style w:type="paragraph" w:styleId="Caption">
    <w:name w:val="caption"/>
    <w:basedOn w:val="Normal"/>
    <w:next w:val="Normal"/>
    <w:uiPriority w:val="35"/>
    <w:unhideWhenUsed/>
    <w:qFormat/>
    <w:rsid w:val="00BF0908"/>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BF090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BF0908"/>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BF0908"/>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BF0908"/>
    <w:rPr>
      <w:lang w:val="mk"/>
    </w:rPr>
  </w:style>
  <w:style w:type="character" w:customStyle="1" w:styleId="UnresolvedMention2">
    <w:name w:val="Unresolved Mention2"/>
    <w:basedOn w:val="DefaultParagraphFont"/>
    <w:uiPriority w:val="99"/>
    <w:semiHidden/>
    <w:unhideWhenUsed/>
    <w:rsid w:val="00BF0908"/>
    <w:rPr>
      <w:color w:val="605E5C"/>
      <w:shd w:val="clear" w:color="auto" w:fill="E1DFDD"/>
    </w:rPr>
  </w:style>
  <w:style w:type="paragraph" w:styleId="TOC1">
    <w:name w:val="toc 1"/>
    <w:basedOn w:val="Normal"/>
    <w:next w:val="Normal"/>
    <w:autoRedefine/>
    <w:uiPriority w:val="39"/>
    <w:unhideWhenUsed/>
    <w:rsid w:val="00BF0908"/>
    <w:pPr>
      <w:spacing w:after="100"/>
    </w:pPr>
  </w:style>
  <w:style w:type="character" w:customStyle="1" w:styleId="UnresolvedMention3">
    <w:name w:val="Unresolved Mention3"/>
    <w:basedOn w:val="DefaultParagraphFont"/>
    <w:uiPriority w:val="99"/>
    <w:semiHidden/>
    <w:unhideWhenUsed/>
    <w:rsid w:val="00BF0908"/>
    <w:rPr>
      <w:color w:val="605E5C"/>
      <w:shd w:val="clear" w:color="auto" w:fill="E1DFDD"/>
    </w:rPr>
  </w:style>
  <w:style w:type="character" w:styleId="UnresolvedMention">
    <w:name w:val="Unresolved Mention"/>
    <w:basedOn w:val="DefaultParagraphFont"/>
    <w:uiPriority w:val="99"/>
    <w:semiHidden/>
    <w:unhideWhenUsed/>
    <w:rsid w:val="00BF0908"/>
    <w:rPr>
      <w:color w:val="605E5C"/>
      <w:shd w:val="clear" w:color="auto" w:fill="E1DFDD"/>
    </w:rPr>
  </w:style>
  <w:style w:type="table" w:customStyle="1" w:styleId="TableGrid2">
    <w:name w:val="Table Grid2"/>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1B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F1B04"/>
    <w:rPr>
      <w:rFonts w:ascii="Arial" w:eastAsia="Arial" w:hAnsi="Arial" w:cs="Arial"/>
      <w:sz w:val="20"/>
      <w:szCs w:val="20"/>
    </w:rPr>
  </w:style>
  <w:style w:type="paragraph" w:styleId="NoSpacing">
    <w:name w:val="No Spacing"/>
    <w:uiPriority w:val="1"/>
    <w:qFormat/>
    <w:rsid w:val="00633C1C"/>
  </w:style>
  <w:style w:type="table" w:customStyle="1" w:styleId="TableGrid3">
    <w:name w:val="Table Grid3"/>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5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251">
      <w:bodyDiv w:val="1"/>
      <w:marLeft w:val="0"/>
      <w:marRight w:val="0"/>
      <w:marTop w:val="0"/>
      <w:marBottom w:val="0"/>
      <w:divBdr>
        <w:top w:val="none" w:sz="0" w:space="0" w:color="auto"/>
        <w:left w:val="none" w:sz="0" w:space="0" w:color="auto"/>
        <w:bottom w:val="none" w:sz="0" w:space="0" w:color="auto"/>
        <w:right w:val="none" w:sz="0" w:space="0" w:color="auto"/>
      </w:divBdr>
    </w:div>
    <w:div w:id="106856406">
      <w:bodyDiv w:val="1"/>
      <w:marLeft w:val="0"/>
      <w:marRight w:val="0"/>
      <w:marTop w:val="0"/>
      <w:marBottom w:val="0"/>
      <w:divBdr>
        <w:top w:val="none" w:sz="0" w:space="0" w:color="auto"/>
        <w:left w:val="none" w:sz="0" w:space="0" w:color="auto"/>
        <w:bottom w:val="none" w:sz="0" w:space="0" w:color="auto"/>
        <w:right w:val="none" w:sz="0" w:space="0" w:color="auto"/>
      </w:divBdr>
    </w:div>
    <w:div w:id="390469016">
      <w:bodyDiv w:val="1"/>
      <w:marLeft w:val="0"/>
      <w:marRight w:val="0"/>
      <w:marTop w:val="0"/>
      <w:marBottom w:val="0"/>
      <w:divBdr>
        <w:top w:val="none" w:sz="0" w:space="0" w:color="auto"/>
        <w:left w:val="none" w:sz="0" w:space="0" w:color="auto"/>
        <w:bottom w:val="none" w:sz="0" w:space="0" w:color="auto"/>
        <w:right w:val="none" w:sz="0" w:space="0" w:color="auto"/>
      </w:divBdr>
    </w:div>
    <w:div w:id="498270460">
      <w:bodyDiv w:val="1"/>
      <w:marLeft w:val="0"/>
      <w:marRight w:val="0"/>
      <w:marTop w:val="0"/>
      <w:marBottom w:val="0"/>
      <w:divBdr>
        <w:top w:val="none" w:sz="0" w:space="0" w:color="auto"/>
        <w:left w:val="none" w:sz="0" w:space="0" w:color="auto"/>
        <w:bottom w:val="none" w:sz="0" w:space="0" w:color="auto"/>
        <w:right w:val="none" w:sz="0" w:space="0" w:color="auto"/>
      </w:divBdr>
    </w:div>
    <w:div w:id="526213529">
      <w:bodyDiv w:val="1"/>
      <w:marLeft w:val="0"/>
      <w:marRight w:val="0"/>
      <w:marTop w:val="0"/>
      <w:marBottom w:val="0"/>
      <w:divBdr>
        <w:top w:val="none" w:sz="0" w:space="0" w:color="auto"/>
        <w:left w:val="none" w:sz="0" w:space="0" w:color="auto"/>
        <w:bottom w:val="none" w:sz="0" w:space="0" w:color="auto"/>
        <w:right w:val="none" w:sz="0" w:space="0" w:color="auto"/>
      </w:divBdr>
    </w:div>
    <w:div w:id="558252938">
      <w:bodyDiv w:val="1"/>
      <w:marLeft w:val="0"/>
      <w:marRight w:val="0"/>
      <w:marTop w:val="0"/>
      <w:marBottom w:val="0"/>
      <w:divBdr>
        <w:top w:val="none" w:sz="0" w:space="0" w:color="auto"/>
        <w:left w:val="none" w:sz="0" w:space="0" w:color="auto"/>
        <w:bottom w:val="none" w:sz="0" w:space="0" w:color="auto"/>
        <w:right w:val="none" w:sz="0" w:space="0" w:color="auto"/>
      </w:divBdr>
    </w:div>
    <w:div w:id="791367555">
      <w:bodyDiv w:val="1"/>
      <w:marLeft w:val="0"/>
      <w:marRight w:val="0"/>
      <w:marTop w:val="0"/>
      <w:marBottom w:val="0"/>
      <w:divBdr>
        <w:top w:val="none" w:sz="0" w:space="0" w:color="auto"/>
        <w:left w:val="none" w:sz="0" w:space="0" w:color="auto"/>
        <w:bottom w:val="none" w:sz="0" w:space="0" w:color="auto"/>
        <w:right w:val="none" w:sz="0" w:space="0" w:color="auto"/>
      </w:divBdr>
    </w:div>
    <w:div w:id="1079206428">
      <w:bodyDiv w:val="1"/>
      <w:marLeft w:val="0"/>
      <w:marRight w:val="0"/>
      <w:marTop w:val="0"/>
      <w:marBottom w:val="0"/>
      <w:divBdr>
        <w:top w:val="none" w:sz="0" w:space="0" w:color="auto"/>
        <w:left w:val="none" w:sz="0" w:space="0" w:color="auto"/>
        <w:bottom w:val="none" w:sz="0" w:space="0" w:color="auto"/>
        <w:right w:val="none" w:sz="0" w:space="0" w:color="auto"/>
      </w:divBdr>
    </w:div>
    <w:div w:id="1216697418">
      <w:bodyDiv w:val="1"/>
      <w:marLeft w:val="0"/>
      <w:marRight w:val="0"/>
      <w:marTop w:val="0"/>
      <w:marBottom w:val="0"/>
      <w:divBdr>
        <w:top w:val="none" w:sz="0" w:space="0" w:color="auto"/>
        <w:left w:val="none" w:sz="0" w:space="0" w:color="auto"/>
        <w:bottom w:val="none" w:sz="0" w:space="0" w:color="auto"/>
        <w:right w:val="none" w:sz="0" w:space="0" w:color="auto"/>
      </w:divBdr>
    </w:div>
    <w:div w:id="1296642728">
      <w:bodyDiv w:val="1"/>
      <w:marLeft w:val="0"/>
      <w:marRight w:val="0"/>
      <w:marTop w:val="0"/>
      <w:marBottom w:val="0"/>
      <w:divBdr>
        <w:top w:val="none" w:sz="0" w:space="0" w:color="auto"/>
        <w:left w:val="none" w:sz="0" w:space="0" w:color="auto"/>
        <w:bottom w:val="none" w:sz="0" w:space="0" w:color="auto"/>
        <w:right w:val="none" w:sz="0" w:space="0" w:color="auto"/>
      </w:divBdr>
    </w:div>
    <w:div w:id="1442795911">
      <w:bodyDiv w:val="1"/>
      <w:marLeft w:val="0"/>
      <w:marRight w:val="0"/>
      <w:marTop w:val="0"/>
      <w:marBottom w:val="0"/>
      <w:divBdr>
        <w:top w:val="none" w:sz="0" w:space="0" w:color="auto"/>
        <w:left w:val="none" w:sz="0" w:space="0" w:color="auto"/>
        <w:bottom w:val="none" w:sz="0" w:space="0" w:color="auto"/>
        <w:right w:val="none" w:sz="0" w:space="0" w:color="auto"/>
      </w:divBdr>
    </w:div>
    <w:div w:id="1528369223">
      <w:bodyDiv w:val="1"/>
      <w:marLeft w:val="0"/>
      <w:marRight w:val="0"/>
      <w:marTop w:val="0"/>
      <w:marBottom w:val="0"/>
      <w:divBdr>
        <w:top w:val="none" w:sz="0" w:space="0" w:color="auto"/>
        <w:left w:val="none" w:sz="0" w:space="0" w:color="auto"/>
        <w:bottom w:val="none" w:sz="0" w:space="0" w:color="auto"/>
        <w:right w:val="none" w:sz="0" w:space="0" w:color="auto"/>
      </w:divBdr>
    </w:div>
    <w:div w:id="1671372330">
      <w:bodyDiv w:val="1"/>
      <w:marLeft w:val="0"/>
      <w:marRight w:val="0"/>
      <w:marTop w:val="0"/>
      <w:marBottom w:val="0"/>
      <w:divBdr>
        <w:top w:val="none" w:sz="0" w:space="0" w:color="auto"/>
        <w:left w:val="none" w:sz="0" w:space="0" w:color="auto"/>
        <w:bottom w:val="none" w:sz="0" w:space="0" w:color="auto"/>
        <w:right w:val="none" w:sz="0" w:space="0" w:color="auto"/>
      </w:divBdr>
    </w:div>
    <w:div w:id="16854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cid:ii_lztljj5r3" TargetMode="External"/><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FB6D-FC42-4C8A-8082-1F2747FA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3</cp:revision>
  <cp:lastPrinted>2025-03-05T11:06:00Z</cp:lastPrinted>
  <dcterms:created xsi:type="dcterms:W3CDTF">2025-05-27T21:12:00Z</dcterms:created>
  <dcterms:modified xsi:type="dcterms:W3CDTF">2025-05-28T09:00:00Z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1a90de8bc0b0266ef67fcfbcb7dafb4773c9a3371dbb67c51e3c878b127bf78b</vt:lpwstr>
  </property>
</Properties>
</file>